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_GB2312" w:hAnsi="仿宋_GB2312" w:eastAsia="仿宋_GB2312" w:cs="仿宋_GB2312"/>
          <w:i w:val="0"/>
          <w:caps w:val="0"/>
          <w:color w:val="auto"/>
          <w:spacing w:val="0"/>
          <w:sz w:val="32"/>
          <w:szCs w:val="32"/>
          <w:lang w:val="en-US" w:eastAsia="zh-CN" w:bidi="ar"/>
        </w:rPr>
      </w:pPr>
      <w:r>
        <w:rPr>
          <w:rFonts w:hint="eastAsia" w:ascii="仿宋_GB2312" w:hAnsi="仿宋_GB2312" w:eastAsia="仿宋_GB2312" w:cs="仿宋_GB2312"/>
          <w:i w:val="0"/>
          <w:caps w:val="0"/>
          <w:color w:val="auto"/>
          <w:spacing w:val="0"/>
          <w:sz w:val="32"/>
          <w:szCs w:val="32"/>
          <w:lang w:val="en-US" w:eastAsia="zh-CN" w:bidi="ar"/>
        </w:rPr>
        <w:t>附件</w:t>
      </w:r>
      <w:r>
        <w:rPr>
          <w:rFonts w:hint="default" w:ascii="仿宋_GB2312" w:hAnsi="仿宋_GB2312" w:eastAsia="仿宋_GB2312" w:cs="仿宋_GB2312"/>
          <w:i w:val="0"/>
          <w:caps w:val="0"/>
          <w:color w:val="auto"/>
          <w:spacing w:val="0"/>
          <w:sz w:val="32"/>
          <w:szCs w:val="32"/>
          <w:lang w:val="en-US" w:eastAsia="zh-CN" w:bidi="ar"/>
        </w:rPr>
        <w:t>5</w:t>
      </w:r>
    </w:p>
    <w:p>
      <w:pPr>
        <w:spacing w:line="560" w:lineRule="exact"/>
        <w:jc w:val="center"/>
        <w:rPr>
          <w:rFonts w:hint="eastAsia" w:ascii="方正小标宋简体" w:hAnsi="方正小标宋简体" w:eastAsia="方正小标宋简体" w:cs="方正小标宋简体"/>
          <w:b w:val="0"/>
          <w:bCs/>
          <w:sz w:val="48"/>
          <w:szCs w:val="48"/>
          <w:lang w:val="en-US" w:eastAsia="zh-CN"/>
        </w:rPr>
      </w:pPr>
      <w:bookmarkStart w:id="0" w:name="_GoBack"/>
      <w:r>
        <w:rPr>
          <w:rFonts w:hint="eastAsia" w:ascii="方正小标宋简体" w:hAnsi="方正小标宋简体" w:eastAsia="方正小标宋简体" w:cs="方正小标宋简体"/>
          <w:b w:val="0"/>
          <w:bCs/>
          <w:sz w:val="48"/>
          <w:szCs w:val="48"/>
          <w:lang w:val="en-US" w:eastAsia="zh-CN"/>
        </w:rPr>
        <w:t>2026年度</w:t>
      </w:r>
      <w:r>
        <w:rPr>
          <w:rFonts w:hint="default" w:ascii="方正小标宋简体" w:hAnsi="方正小标宋简体" w:eastAsia="方正小标宋简体" w:cs="方正小标宋简体"/>
          <w:b w:val="0"/>
          <w:bCs/>
          <w:sz w:val="48"/>
          <w:szCs w:val="48"/>
          <w:lang w:val="en-US" w:eastAsia="zh-CN"/>
        </w:rPr>
        <w:t>第</w:t>
      </w:r>
      <w:r>
        <w:rPr>
          <w:rFonts w:hint="eastAsia" w:ascii="方正小标宋简体" w:hAnsi="方正小标宋简体" w:eastAsia="方正小标宋简体" w:cs="方正小标宋简体"/>
          <w:b w:val="0"/>
          <w:bCs/>
          <w:sz w:val="48"/>
          <w:szCs w:val="48"/>
          <w:lang w:val="en-US" w:eastAsia="zh-CN"/>
        </w:rPr>
        <w:t>二</w:t>
      </w:r>
      <w:r>
        <w:rPr>
          <w:rFonts w:hint="default" w:ascii="方正小标宋简体" w:hAnsi="方正小标宋简体" w:eastAsia="方正小标宋简体" w:cs="方正小标宋简体"/>
          <w:b w:val="0"/>
          <w:bCs/>
          <w:sz w:val="48"/>
          <w:szCs w:val="48"/>
          <w:lang w:val="en-US" w:eastAsia="zh-CN"/>
        </w:rPr>
        <w:t>批</w:t>
      </w:r>
      <w:r>
        <w:rPr>
          <w:rFonts w:hint="eastAsia" w:ascii="方正小标宋简体" w:hAnsi="方正小标宋简体" w:eastAsia="方正小标宋简体" w:cs="方正小标宋简体"/>
          <w:b w:val="0"/>
          <w:bCs/>
          <w:sz w:val="48"/>
          <w:szCs w:val="48"/>
          <w:lang w:val="en-US" w:eastAsia="zh-CN"/>
        </w:rPr>
        <w:t>深圳市训力券兑现项目形式审查要点</w:t>
      </w:r>
      <w:bookmarkEnd w:id="0"/>
    </w:p>
    <w:p>
      <w:pPr>
        <w:pStyle w:val="2"/>
        <w:rPr>
          <w:rFonts w:hint="default"/>
        </w:rPr>
      </w:pPr>
    </w:p>
    <w:tbl>
      <w:tblPr>
        <w:tblStyle w:val="4"/>
        <w:tblW w:w="138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31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690" w:type="dxa"/>
            <w:vAlign w:val="center"/>
          </w:tcPr>
          <w:p>
            <w:pPr>
              <w:spacing w:line="360" w:lineRule="exact"/>
              <w:ind w:right="25" w:rightChars="12"/>
              <w:jc w:val="center"/>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lang w:eastAsia="zh-CN"/>
              </w:rPr>
              <w:t>序号</w:t>
            </w:r>
          </w:p>
        </w:tc>
        <w:tc>
          <w:tcPr>
            <w:tcW w:w="13129" w:type="dxa"/>
            <w:vAlign w:val="center"/>
          </w:tcPr>
          <w:p>
            <w:pPr>
              <w:spacing w:line="360" w:lineRule="exact"/>
              <w:ind w:right="25" w:rightChars="12"/>
              <w:jc w:val="center"/>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lang w:eastAsia="zh-CN"/>
              </w:rPr>
              <w:t>审查要点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690" w:type="dxa"/>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p>
        </w:tc>
        <w:tc>
          <w:tcPr>
            <w:tcW w:w="13129"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25" w:rightChars="12"/>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申请单位是按照相关规定与持券单位签订了相关服务合同、接收了训力券并按服务合同约定完成了相关智能算力服务的服务机构，服务机构提供相关服务时，服务事项已入库并在有效期内。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690" w:type="dxa"/>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p>
        </w:tc>
        <w:tc>
          <w:tcPr>
            <w:tcW w:w="1312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25" w:rightChars="12" w:firstLine="0" w:firstLineChars="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Cs w:val="0"/>
                <w:color w:val="auto"/>
                <w:kern w:val="2"/>
                <w:sz w:val="21"/>
                <w:szCs w:val="21"/>
                <w:highlight w:val="none"/>
                <w:lang w:val="en-US" w:eastAsia="zh-CN"/>
              </w:rPr>
              <w:t>申请单位</w:t>
            </w:r>
            <w:r>
              <w:rPr>
                <w:rFonts w:hint="eastAsia" w:ascii="仿宋_GB2312" w:hAnsi="仿宋_GB2312" w:eastAsia="仿宋_GB2312" w:cs="仿宋_GB2312"/>
                <w:bCs w:val="0"/>
                <w:color w:val="auto"/>
                <w:sz w:val="21"/>
                <w:szCs w:val="21"/>
                <w:highlight w:val="none"/>
              </w:rPr>
              <w:t>不存在被限制申请财政性资金项目惩戒情形，未被列入超期未申请验收名单和超期未退款名单</w:t>
            </w:r>
            <w:r>
              <w:rPr>
                <w:rFonts w:hint="eastAsia" w:ascii="仿宋_GB2312" w:hAnsi="仿宋_GB2312" w:eastAsia="仿宋_GB2312" w:cs="仿宋_GB2312"/>
                <w:color w:val="auto"/>
                <w:sz w:val="21"/>
                <w:szCs w:val="21"/>
                <w:highlight w:val="none"/>
                <w:lang w:val="en-U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690" w:type="dxa"/>
            <w:vAlign w:val="center"/>
          </w:tcPr>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w:t>
            </w:r>
          </w:p>
        </w:tc>
        <w:tc>
          <w:tcPr>
            <w:tcW w:w="13129"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25" w:rightChars="12"/>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申请</w:t>
            </w:r>
            <w:r>
              <w:rPr>
                <w:rFonts w:hint="eastAsia" w:ascii="仿宋_GB2312" w:hAnsi="仿宋_GB2312" w:eastAsia="仿宋_GB2312" w:cs="仿宋_GB2312"/>
                <w:sz w:val="21"/>
                <w:szCs w:val="21"/>
                <w:lang w:val="en" w:eastAsia="zh-CN"/>
              </w:rPr>
              <w:t>兑现的合同</w:t>
            </w:r>
            <w:r>
              <w:rPr>
                <w:rFonts w:hint="eastAsia" w:ascii="仿宋_GB2312" w:hAnsi="仿宋_GB2312" w:eastAsia="仿宋_GB2312" w:cs="仿宋_GB2312"/>
                <w:sz w:val="21"/>
                <w:szCs w:val="21"/>
                <w:lang w:val="en-US" w:eastAsia="zh-CN"/>
              </w:rPr>
              <w:t>为</w:t>
            </w:r>
            <w:r>
              <w:rPr>
                <w:rFonts w:hint="eastAsia" w:ascii="仿宋_GB2312" w:hAnsi="仿宋_GB2312" w:eastAsia="仿宋_GB2312" w:cs="仿宋_GB2312"/>
                <w:sz w:val="21"/>
                <w:szCs w:val="21"/>
                <w:lang w:val="en" w:eastAsia="zh-CN"/>
              </w:rPr>
              <w:t>20</w:t>
            </w:r>
            <w:r>
              <w:rPr>
                <w:rFonts w:hint="eastAsia" w:ascii="仿宋_GB2312" w:hAnsi="仿宋_GB2312" w:eastAsia="仿宋_GB2312" w:cs="仿宋_GB2312"/>
                <w:sz w:val="21"/>
                <w:szCs w:val="21"/>
                <w:lang w:val="en-US" w:eastAsia="zh-CN"/>
              </w:rPr>
              <w:t>24</w:t>
            </w:r>
            <w:r>
              <w:rPr>
                <w:rFonts w:hint="eastAsia" w:ascii="仿宋_GB2312" w:hAnsi="仿宋_GB2312" w:eastAsia="仿宋_GB2312" w:cs="仿宋_GB2312"/>
                <w:sz w:val="21"/>
                <w:szCs w:val="21"/>
                <w:lang w:val="en" w:eastAsia="zh-CN"/>
              </w:rPr>
              <w:t>年</w:t>
            </w: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lang w:val="en" w:eastAsia="zh-CN"/>
              </w:rPr>
              <w:t>月</w:t>
            </w:r>
            <w:r>
              <w:rPr>
                <w:rFonts w:hint="eastAsia" w:ascii="仿宋_GB2312" w:hAnsi="仿宋_GB2312" w:eastAsia="仿宋_GB2312" w:cs="仿宋_GB2312"/>
                <w:sz w:val="21"/>
                <w:szCs w:val="21"/>
                <w:lang w:val="en-US" w:eastAsia="zh-CN"/>
              </w:rPr>
              <w:t>31</w:t>
            </w:r>
            <w:r>
              <w:rPr>
                <w:rFonts w:hint="eastAsia" w:ascii="仿宋_GB2312" w:hAnsi="仿宋_GB2312" w:eastAsia="仿宋_GB2312" w:cs="仿宋_GB2312"/>
                <w:sz w:val="21"/>
                <w:szCs w:val="21"/>
                <w:lang w:val="en" w:eastAsia="zh-CN"/>
              </w:rPr>
              <w:t>日(含)至</w:t>
            </w:r>
            <w:r>
              <w:rPr>
                <w:rFonts w:hint="eastAsia" w:ascii="仿宋_GB2312" w:hAnsi="仿宋_GB2312" w:eastAsia="仿宋_GB2312" w:cs="仿宋_GB2312"/>
                <w:sz w:val="21"/>
                <w:szCs w:val="21"/>
                <w:lang w:val="en-US" w:eastAsia="zh-CN"/>
              </w:rPr>
              <w:t>2026年7月2日</w:t>
            </w:r>
            <w:r>
              <w:rPr>
                <w:rFonts w:hint="eastAsia" w:ascii="仿宋_GB2312" w:hAnsi="仿宋_GB2312" w:eastAsia="仿宋_GB2312" w:cs="仿宋_GB2312"/>
                <w:sz w:val="21"/>
                <w:szCs w:val="21"/>
                <w:lang w:val="en" w:eastAsia="zh-CN"/>
              </w:rPr>
              <w:t>(含)期间</w:t>
            </w:r>
            <w:r>
              <w:rPr>
                <w:rFonts w:hint="eastAsia" w:ascii="仿宋_GB2312" w:hAnsi="仿宋_GB2312" w:eastAsia="仿宋_GB2312" w:cs="仿宋_GB2312"/>
                <w:sz w:val="21"/>
                <w:szCs w:val="21"/>
                <w:lang w:val="en-US" w:eastAsia="zh-CN"/>
              </w:rPr>
              <w:t>完成的智能算力</w:t>
            </w:r>
            <w:r>
              <w:rPr>
                <w:rFonts w:hint="eastAsia" w:ascii="仿宋_GB2312" w:hAnsi="仿宋_GB2312" w:eastAsia="仿宋_GB2312" w:cs="仿宋_GB2312"/>
                <w:sz w:val="21"/>
                <w:szCs w:val="21"/>
                <w:lang w:val="en" w:eastAsia="zh-CN"/>
              </w:rPr>
              <w:t>服务</w:t>
            </w:r>
            <w:r>
              <w:rPr>
                <w:rFonts w:hint="eastAsia" w:ascii="仿宋_GB2312" w:hAnsi="仿宋_GB2312" w:eastAsia="仿宋_GB2312" w:cs="仿宋_GB2312"/>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90" w:type="dxa"/>
            <w:vAlign w:val="center"/>
          </w:tcPr>
          <w:p>
            <w:pPr>
              <w:jc w:val="center"/>
              <w:rPr>
                <w:rFonts w:hint="default" w:ascii="仿宋_GB2312" w:hAnsi="仿宋_GB2312" w:eastAsia="仿宋_GB2312" w:cs="仿宋_GB2312"/>
                <w:lang w:val="en" w:eastAsia="zh-CN"/>
              </w:rPr>
            </w:pPr>
            <w:r>
              <w:rPr>
                <w:rFonts w:hint="eastAsia" w:ascii="仿宋_GB2312" w:hAnsi="仿宋_GB2312" w:eastAsia="仿宋_GB2312" w:cs="仿宋_GB2312"/>
                <w:lang w:val="en-US" w:eastAsia="zh-CN"/>
              </w:rPr>
              <w:t>4</w:t>
            </w:r>
          </w:p>
        </w:tc>
        <w:tc>
          <w:tcPr>
            <w:tcW w:w="13129" w:type="dxa"/>
            <w:vAlign w:val="center"/>
          </w:tcPr>
          <w:p>
            <w:pPr>
              <w:keepNext w:val="0"/>
              <w:keepLines w:val="0"/>
              <w:pageBreakBefore w:val="0"/>
              <w:widowControl w:val="0"/>
              <w:kinsoku/>
              <w:wordWrap/>
              <w:overflowPunct/>
              <w:topLinePunct w:val="0"/>
              <w:autoSpaceDE/>
              <w:autoSpaceDN/>
              <w:bidi w:val="0"/>
              <w:adjustRightInd/>
              <w:snapToGrid/>
              <w:spacing w:line="240" w:lineRule="exact"/>
              <w:ind w:right="25" w:rightChars="12"/>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申请项目所需的附件材料齐全、符合法定形式。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690" w:type="dxa"/>
            <w:vAlign w:val="center"/>
          </w:tcPr>
          <w:p>
            <w:pPr>
              <w:jc w:val="center"/>
              <w:rPr>
                <w:rFonts w:hint="default" w:ascii="仿宋_GB2312" w:hAnsi="仿宋_GB2312" w:eastAsia="仿宋_GB2312" w:cs="仿宋_GB2312"/>
                <w:lang w:val="en" w:eastAsia="zh-CN"/>
              </w:rPr>
            </w:pPr>
            <w:r>
              <w:rPr>
                <w:rFonts w:hint="eastAsia" w:ascii="仿宋_GB2312" w:hAnsi="仿宋_GB2312" w:eastAsia="仿宋_GB2312" w:cs="仿宋_GB2312"/>
                <w:lang w:val="en-US" w:eastAsia="zh-CN"/>
              </w:rPr>
              <w:t>5</w:t>
            </w:r>
          </w:p>
        </w:tc>
        <w:tc>
          <w:tcPr>
            <w:tcW w:w="1312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25" w:rightChars="12" w:firstLine="0" w:firstLine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申请项目不存在中介代为申请的情况。</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Cs/>
          <w:sz w:val="30"/>
          <w:szCs w:val="30"/>
          <w:lang w:val="en-US" w:eastAsia="zh-CN"/>
        </w:rPr>
      </w:pPr>
    </w:p>
    <w:p/>
    <w:p/>
    <w:p/>
    <w:sectPr>
      <w:pgSz w:w="16838" w:h="11906" w:orient="landscape"/>
      <w:pgMar w:top="1587"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BF4CDC"/>
    <w:rsid w:val="FBBF4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楷体_GB2312" w:eastAsia="Times New Roman" w:cs="Times New Roman"/>
      <w:color w:val="000000"/>
      <w:sz w:val="24"/>
      <w:szCs w:val="22"/>
      <w:lang w:val="en-US" w:eastAsia="zh-CN" w:bidi="ar-SA"/>
    </w:rPr>
  </w:style>
  <w:style w:type="paragraph" w:styleId="3">
    <w:name w:val="Normal (Web)"/>
    <w:basedOn w:val="1"/>
    <w:qFormat/>
    <w:uiPriority w:val="0"/>
    <w:pPr>
      <w:widowControl/>
      <w:spacing w:line="384" w:lineRule="auto"/>
      <w:jc w:val="left"/>
    </w:pPr>
    <w:rPr>
      <w:rFonts w:ascii="宋体" w:hAnsi="宋体" w:cs="宋体"/>
      <w:color w:val="333333"/>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2026-06-03T09:06:00Z</dcterms:created>
  <dc:creator>wuyanyao</dc:creator>
  <cp:lastModifiedBy>wuyanyao</cp:lastModifiedBy>
  <dcterms:modified xsi:type="dcterms:W3CDTF">2026-06-03T09:06:42Z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4743B2DD10D76B9BFE7D1F6A5DF873D2</vt:lpwstr>
  </property>
</Properties>
</file>