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A12DC">
      <w:pPr>
        <w:widowControl/>
        <w:jc w:val="center"/>
        <w:rPr>
          <w:rFonts w:ascii="方正小标宋简体" w:hAnsi="方正小标宋简体" w:eastAsia="方正小标宋简体" w:cs="方正小标宋简体"/>
          <w:sz w:val="44"/>
          <w:szCs w:val="44"/>
        </w:rPr>
      </w:pPr>
      <w:bookmarkStart w:id="0" w:name="_GoBack"/>
      <w:bookmarkEnd w:id="0"/>
      <w:r>
        <w:rPr>
          <w:rFonts w:ascii="方正小标宋简体" w:hAnsi="方正小标宋简体" w:eastAsia="方正小标宋简体" w:cs="方正小标宋简体"/>
          <w:sz w:val="44"/>
          <w:szCs w:val="44"/>
          <w:lang w:bidi="ar"/>
        </w:rPr>
        <w:t>南山区促进鸿蒙产业发展专项扶持措施</w:t>
      </w:r>
    </w:p>
    <w:p w14:paraId="5591753A">
      <w:pPr>
        <w:spacing w:line="560" w:lineRule="exact"/>
        <w:jc w:val="center"/>
        <w:outlineLvl w:val="0"/>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lang w:bidi="ar"/>
        </w:rPr>
        <w:t xml:space="preserve"> </w:t>
      </w:r>
    </w:p>
    <w:p w14:paraId="5F94FEB4">
      <w:pPr>
        <w:keepNext/>
        <w:keepLines/>
        <w:spacing w:line="560" w:lineRule="exact"/>
        <w:jc w:val="center"/>
        <w:outlineLvl w:val="1"/>
        <w:rPr>
          <w:rFonts w:ascii="SimHei" w:hAnsi="宋体" w:eastAsia="SimHei" w:cs="SimHei"/>
          <w:bCs/>
          <w:sz w:val="32"/>
          <w:szCs w:val="32"/>
        </w:rPr>
      </w:pPr>
      <w:r>
        <w:rPr>
          <w:rFonts w:ascii="SimHei" w:hAnsi="宋体" w:eastAsia="SimHei" w:cs="SimHei"/>
          <w:bCs/>
          <w:sz w:val="32"/>
          <w:szCs w:val="32"/>
          <w:lang w:bidi="ar"/>
        </w:rPr>
        <w:t>第一章  总则</w:t>
      </w:r>
    </w:p>
    <w:p w14:paraId="7B720B3B">
      <w:pPr>
        <w:keepNext/>
        <w:keepLines/>
        <w:spacing w:line="560" w:lineRule="exact"/>
        <w:ind w:firstLine="640" w:firstLineChars="200"/>
        <w:outlineLvl w:val="1"/>
        <w:rPr>
          <w:rFonts w:hint="eastAsia" w:ascii="仿宋_GB2312" w:eastAsia="仿宋_GB2312" w:cs="仿宋_GB2312"/>
          <w:bCs/>
          <w:sz w:val="32"/>
          <w:szCs w:val="32"/>
        </w:rPr>
      </w:pPr>
      <w:r>
        <w:rPr>
          <w:rFonts w:ascii="楷体_GB2312" w:eastAsia="楷体_GB2312" w:cs="楷体_GB2312"/>
          <w:bCs/>
          <w:sz w:val="32"/>
          <w:szCs w:val="32"/>
          <w:lang w:bidi="ar"/>
        </w:rPr>
        <w:t>第一条</w:t>
      </w:r>
      <w:r>
        <w:rPr>
          <w:rFonts w:ascii="仿宋_GB2312" w:eastAsia="仿宋_GB2312" w:cs="仿宋_GB2312"/>
          <w:bCs/>
          <w:sz w:val="32"/>
          <w:szCs w:val="32"/>
          <w:lang w:bidi="ar"/>
        </w:rPr>
        <w:t xml:space="preserve"> 为构建先进完整的鸿蒙原生应用软件生态</w:t>
      </w:r>
      <w:r>
        <w:rPr>
          <w:rFonts w:ascii="仿宋_GB2312" w:eastAsia="仿宋_GB2312" w:cs="仿宋_GB2312"/>
          <w:sz w:val="32"/>
          <w:szCs w:val="32"/>
          <w:lang w:bidi="ar"/>
        </w:rPr>
        <w:t>，</w:t>
      </w:r>
      <w:r>
        <w:rPr>
          <w:rFonts w:ascii="仿宋_GB2312" w:eastAsia="仿宋_GB2312" w:cs="仿宋_GB2312"/>
          <w:bCs/>
          <w:sz w:val="32"/>
          <w:szCs w:val="32"/>
          <w:lang w:bidi="ar"/>
        </w:rPr>
        <w:t>促进南山区鸿蒙产业蓬勃发展，根据国务院</w:t>
      </w:r>
      <w:r>
        <w:rPr>
          <w:rFonts w:hint="eastAsia" w:ascii="仿宋_GB2312" w:eastAsia="仿宋_GB2312" w:cs="仿宋_GB2312"/>
          <w:bCs/>
          <w:sz w:val="32"/>
          <w:szCs w:val="32"/>
          <w:lang w:bidi="ar"/>
        </w:rPr>
        <w:t>《</w:t>
      </w:r>
      <w:r>
        <w:rPr>
          <w:rFonts w:ascii="仿宋_GB2312" w:eastAsia="仿宋_GB2312" w:cs="仿宋_GB2312"/>
          <w:bCs/>
          <w:sz w:val="32"/>
          <w:szCs w:val="32"/>
          <w:lang w:bidi="ar"/>
        </w:rPr>
        <w:t>关于推进服务业扩能提质的意见</w:t>
      </w:r>
      <w:r>
        <w:rPr>
          <w:rFonts w:hint="eastAsia" w:ascii="仿宋_GB2312" w:eastAsia="仿宋_GB2312" w:cs="仿宋_GB2312"/>
          <w:bCs/>
          <w:sz w:val="32"/>
          <w:szCs w:val="32"/>
          <w:lang w:bidi="ar"/>
        </w:rPr>
        <w:t>》（</w:t>
      </w:r>
      <w:r>
        <w:rPr>
          <w:rFonts w:ascii="仿宋_GB2312" w:eastAsia="仿宋_GB2312" w:cs="仿宋_GB2312"/>
          <w:bCs/>
          <w:sz w:val="32"/>
          <w:szCs w:val="32"/>
          <w:lang w:bidi="ar"/>
        </w:rPr>
        <w:t>国发〔2026〕7号</w:t>
      </w:r>
      <w:r>
        <w:rPr>
          <w:rFonts w:hint="eastAsia" w:ascii="仿宋_GB2312" w:eastAsia="仿宋_GB2312" w:cs="仿宋_GB2312"/>
          <w:bCs/>
          <w:sz w:val="32"/>
          <w:szCs w:val="32"/>
          <w:lang w:bidi="ar"/>
        </w:rPr>
        <w:t>）、工业和信息化部《推动工业互联网平台高质量发展行动方案（2026—2028年）》（工信部信发〔2025〕276号）等文件</w:t>
      </w:r>
      <w:r>
        <w:rPr>
          <w:rFonts w:ascii="仿宋_GB2312" w:eastAsia="仿宋_GB2312" w:cs="仿宋_GB2312"/>
          <w:bCs/>
          <w:sz w:val="32"/>
          <w:szCs w:val="32"/>
          <w:lang w:bidi="ar"/>
        </w:rPr>
        <w:t>制定本措施。</w:t>
      </w:r>
    </w:p>
    <w:p w14:paraId="6F7C22BF">
      <w:pPr>
        <w:keepNext/>
        <w:keepLines/>
        <w:spacing w:line="560" w:lineRule="exact"/>
        <w:ind w:firstLine="640" w:firstLineChars="200"/>
        <w:outlineLvl w:val="1"/>
        <w:rPr>
          <w:rFonts w:hint="eastAsia" w:ascii="仿宋_GB2312" w:eastAsia="仿宋_GB2312" w:cs="仿宋_GB2312"/>
          <w:bCs/>
          <w:sz w:val="32"/>
          <w:szCs w:val="32"/>
        </w:rPr>
      </w:pPr>
      <w:r>
        <w:rPr>
          <w:rFonts w:ascii="楷体_GB2312" w:eastAsia="楷体_GB2312" w:cs="楷体_GB2312"/>
          <w:bCs/>
          <w:sz w:val="32"/>
          <w:szCs w:val="32"/>
          <w:lang w:bidi="ar"/>
        </w:rPr>
        <w:t>第</w:t>
      </w:r>
      <w:r>
        <w:rPr>
          <w:rFonts w:hint="eastAsia" w:ascii="楷体_GB2312" w:eastAsia="楷体_GB2312" w:cs="楷体_GB2312"/>
          <w:bCs/>
          <w:sz w:val="32"/>
          <w:szCs w:val="32"/>
          <w:lang w:bidi="ar"/>
        </w:rPr>
        <w:t>二</w:t>
      </w:r>
      <w:r>
        <w:rPr>
          <w:rFonts w:ascii="楷体_GB2312" w:eastAsia="楷体_GB2312" w:cs="楷体_GB2312"/>
          <w:bCs/>
          <w:sz w:val="32"/>
          <w:szCs w:val="32"/>
          <w:lang w:bidi="ar"/>
        </w:rPr>
        <w:t>条</w:t>
      </w:r>
      <w:r>
        <w:rPr>
          <w:rFonts w:ascii="仿宋_GB2312" w:eastAsia="仿宋_GB2312" w:cs="仿宋_GB2312"/>
          <w:bCs/>
          <w:sz w:val="32"/>
          <w:szCs w:val="32"/>
          <w:lang w:bidi="ar"/>
        </w:rPr>
        <w:t xml:space="preserve"> 本措施申请、受理及审核决策程序按照南山区促进产业发展</w:t>
      </w:r>
      <w:r>
        <w:rPr>
          <w:rFonts w:hint="eastAsia" w:ascii="仿宋_GB2312" w:eastAsia="仿宋_GB2312" w:cs="仿宋_GB2312"/>
          <w:bCs/>
          <w:sz w:val="32"/>
          <w:szCs w:val="32"/>
          <w:lang w:bidi="ar"/>
        </w:rPr>
        <w:t>相关</w:t>
      </w:r>
      <w:r>
        <w:rPr>
          <w:rFonts w:ascii="仿宋_GB2312" w:eastAsia="仿宋_GB2312" w:cs="仿宋_GB2312"/>
          <w:bCs/>
          <w:sz w:val="32"/>
          <w:szCs w:val="32"/>
          <w:lang w:bidi="ar"/>
        </w:rPr>
        <w:t>资金管理办法执行。本措施资金量受区工业和信息化局分项资金总量控制，但在资金总量控制范围内可适当调整。</w:t>
      </w:r>
    </w:p>
    <w:p w14:paraId="6AC276D7">
      <w:pPr>
        <w:spacing w:line="540" w:lineRule="exact"/>
        <w:ind w:firstLine="640" w:firstLineChars="200"/>
        <w:rPr>
          <w:rFonts w:hint="eastAsia" w:ascii="仿宋_GB2312" w:eastAsia="仿宋_GB2312"/>
          <w:sz w:val="32"/>
          <w:szCs w:val="32"/>
        </w:rPr>
      </w:pPr>
    </w:p>
    <w:p w14:paraId="1BF1141B">
      <w:pPr>
        <w:autoSpaceDE w:val="0"/>
        <w:spacing w:line="560" w:lineRule="exact"/>
        <w:jc w:val="center"/>
        <w:outlineLvl w:val="0"/>
        <w:rPr>
          <w:rFonts w:ascii="SimHei" w:hAnsi="宋体" w:eastAsia="SimHei" w:cs="SimHei"/>
          <w:bCs/>
          <w:sz w:val="32"/>
          <w:szCs w:val="32"/>
        </w:rPr>
      </w:pPr>
      <w:r>
        <w:rPr>
          <w:rFonts w:ascii="SimHei" w:hAnsi="宋体" w:eastAsia="SimHei" w:cs="SimHei"/>
          <w:bCs/>
          <w:sz w:val="32"/>
          <w:szCs w:val="32"/>
          <w:lang w:bidi="ar"/>
        </w:rPr>
        <w:t>第二章  支持鸿蒙产业发展</w:t>
      </w:r>
    </w:p>
    <w:p w14:paraId="41BF591D">
      <w:pPr>
        <w:spacing w:line="560" w:lineRule="exact"/>
        <w:ind w:firstLine="640" w:firstLineChars="200"/>
        <w:outlineLvl w:val="0"/>
        <w:rPr>
          <w:rFonts w:hint="eastAsia" w:ascii="楷体_GB2312" w:eastAsia="楷体_GB2312" w:cs="楷体_GB2312"/>
          <w:sz w:val="32"/>
          <w:szCs w:val="32"/>
        </w:rPr>
      </w:pPr>
      <w:r>
        <w:rPr>
          <w:rFonts w:ascii="楷体_GB2312" w:eastAsia="楷体_GB2312" w:cs="楷体_GB2312"/>
          <w:sz w:val="32"/>
          <w:szCs w:val="32"/>
          <w:lang w:bidi="ar"/>
        </w:rPr>
        <w:t>第</w:t>
      </w:r>
      <w:r>
        <w:rPr>
          <w:rFonts w:hint="eastAsia" w:ascii="楷体_GB2312" w:eastAsia="楷体_GB2312" w:cs="楷体_GB2312"/>
          <w:sz w:val="32"/>
          <w:szCs w:val="32"/>
          <w:lang w:bidi="ar"/>
        </w:rPr>
        <w:t>三</w:t>
      </w:r>
      <w:r>
        <w:rPr>
          <w:rFonts w:ascii="楷体_GB2312" w:eastAsia="楷体_GB2312" w:cs="楷体_GB2312"/>
          <w:sz w:val="32"/>
          <w:szCs w:val="32"/>
          <w:lang w:bidi="ar"/>
        </w:rPr>
        <w:t>条 鼓励</w:t>
      </w:r>
      <w:r>
        <w:rPr>
          <w:rFonts w:hint="eastAsia" w:ascii="楷体_GB2312" w:eastAsia="楷体_GB2312" w:cs="楷体_GB2312"/>
          <w:sz w:val="32"/>
          <w:szCs w:val="32"/>
          <w:lang w:bidi="ar"/>
        </w:rPr>
        <w:t>推出</w:t>
      </w:r>
      <w:r>
        <w:rPr>
          <w:rFonts w:ascii="楷体_GB2312" w:eastAsia="楷体_GB2312" w:cs="楷体_GB2312"/>
          <w:sz w:val="32"/>
          <w:szCs w:val="32"/>
          <w:lang w:bidi="ar"/>
        </w:rPr>
        <w:t>鸿蒙硬件产品</w:t>
      </w:r>
    </w:p>
    <w:p w14:paraId="2B34428B">
      <w:pPr>
        <w:spacing w:line="560" w:lineRule="exact"/>
        <w:ind w:firstLine="640" w:firstLineChars="200"/>
        <w:outlineLvl w:val="9"/>
        <w:rPr>
          <w:rFonts w:hint="eastAsia" w:ascii="仿宋_GB2312" w:eastAsia="仿宋_GB2312" w:cs="仿宋_GB2312"/>
          <w:bCs w:val="0"/>
          <w:sz w:val="32"/>
          <w:szCs w:val="32"/>
          <w:lang w:bidi="ar-SA"/>
        </w:rPr>
      </w:pPr>
      <w:r>
        <w:rPr>
          <w:rFonts w:hint="eastAsia" w:ascii="仿宋_GB2312" w:hAnsi="Calibri" w:eastAsia="仿宋_GB2312" w:cs="仿宋_GB2312"/>
          <w:sz w:val="32"/>
          <w:szCs w:val="32"/>
          <w:lang w:bidi="ar"/>
        </w:rPr>
        <w:t>支持芯片、终端厂商适配鸿蒙系统，对鸿蒙芯片企业按照认证产品数量及通过测评产品的操作系统类型给予最高500万元奖励；对模组/开发板、终端产品通过鸿蒙相关测试认证的，按照鸿蒙终端产品销售数量、通过测评的操作系统类型</w:t>
      </w:r>
      <w:r>
        <w:rPr>
          <w:rFonts w:hint="eastAsia" w:ascii="仿宋_GB2312" w:hAnsi="Calibri" w:eastAsia="仿宋_GB2312" w:cs="仿宋_GB2312"/>
          <w:sz w:val="32"/>
          <w:szCs w:val="32"/>
          <w:lang w:eastAsia="zh-CN" w:bidi="ar"/>
        </w:rPr>
        <w:t>等条件</w:t>
      </w:r>
      <w:r>
        <w:rPr>
          <w:rFonts w:hint="eastAsia" w:ascii="仿宋_GB2312" w:hAnsi="Calibri" w:eastAsia="仿宋_GB2312" w:cs="仿宋_GB2312"/>
          <w:sz w:val="32"/>
          <w:szCs w:val="32"/>
          <w:lang w:bidi="ar"/>
        </w:rPr>
        <w:t>分档，给予最高5000万元奖励。</w:t>
      </w:r>
    </w:p>
    <w:p w14:paraId="3A92ABF2">
      <w:pPr>
        <w:spacing w:line="560" w:lineRule="exact"/>
        <w:ind w:firstLine="640" w:firstLineChars="200"/>
        <w:outlineLvl w:val="0"/>
        <w:rPr>
          <w:rFonts w:hint="eastAsia" w:ascii="楷体_GB2312" w:eastAsia="楷体_GB2312" w:cs="楷体_GB2312"/>
          <w:bCs/>
          <w:sz w:val="32"/>
          <w:szCs w:val="32"/>
        </w:rPr>
      </w:pPr>
      <w:r>
        <w:rPr>
          <w:rFonts w:ascii="楷体_GB2312" w:eastAsia="楷体_GB2312" w:cs="楷体_GB2312"/>
          <w:bCs/>
          <w:sz w:val="32"/>
          <w:szCs w:val="32"/>
          <w:lang w:bidi="ar"/>
        </w:rPr>
        <w:t>第</w:t>
      </w:r>
      <w:r>
        <w:rPr>
          <w:rFonts w:hint="eastAsia" w:ascii="楷体_GB2312" w:eastAsia="楷体_GB2312" w:cs="楷体_GB2312"/>
          <w:bCs/>
          <w:sz w:val="32"/>
          <w:szCs w:val="32"/>
          <w:lang w:bidi="ar"/>
        </w:rPr>
        <w:t>四</w:t>
      </w:r>
      <w:r>
        <w:rPr>
          <w:rFonts w:ascii="楷体_GB2312" w:eastAsia="楷体_GB2312" w:cs="楷体_GB2312"/>
          <w:bCs/>
          <w:sz w:val="32"/>
          <w:szCs w:val="32"/>
          <w:lang w:bidi="ar"/>
        </w:rPr>
        <w:t>条 鼓励开发鸿蒙</w:t>
      </w:r>
      <w:r>
        <w:rPr>
          <w:rFonts w:hint="eastAsia" w:ascii="楷体_GB2312" w:eastAsia="楷体_GB2312" w:cs="楷体_GB2312"/>
          <w:bCs/>
          <w:sz w:val="32"/>
          <w:szCs w:val="32"/>
          <w:lang w:bidi="ar"/>
        </w:rPr>
        <w:t>软件</w:t>
      </w:r>
    </w:p>
    <w:p w14:paraId="5F42B967">
      <w:pPr>
        <w:spacing w:line="560" w:lineRule="exact"/>
        <w:ind w:firstLine="640" w:firstLineChars="200"/>
        <w:jc w:val="left"/>
        <w:rPr>
          <w:rFonts w:hint="eastAsia" w:ascii="仿宋_GB2312" w:hAnsi="Calibri Light" w:eastAsia="仿宋_GB2312"/>
          <w:bCs/>
          <w:sz w:val="32"/>
          <w:szCs w:val="32"/>
        </w:rPr>
      </w:pPr>
      <w:r>
        <w:rPr>
          <w:rFonts w:ascii="仿宋_GB2312" w:eastAsia="仿宋_GB2312" w:cs="仿宋_GB2312"/>
          <w:sz w:val="32"/>
          <w:szCs w:val="32"/>
          <w:lang w:bidi="ar"/>
        </w:rPr>
        <w:t>鼓励企业开发鸿蒙原生应用及商业发行版，对鸿蒙原生应用在HarmonyOS 5.0及更高版本的应用商城月活量达到一定数量的</w:t>
      </w:r>
      <w:r>
        <w:rPr>
          <w:rFonts w:hint="eastAsia" w:ascii="仿宋_GB2312" w:eastAsia="仿宋_GB2312" w:cs="仿宋_GB2312"/>
          <w:sz w:val="32"/>
          <w:szCs w:val="32"/>
          <w:lang w:eastAsia="zh-CN" w:bidi="ar"/>
        </w:rPr>
        <w:t>企业，</w:t>
      </w:r>
      <w:r>
        <w:rPr>
          <w:rFonts w:ascii="仿宋_GB2312" w:eastAsia="仿宋_GB2312" w:cs="仿宋_GB2312"/>
          <w:sz w:val="32"/>
          <w:szCs w:val="32"/>
          <w:lang w:bidi="ar"/>
        </w:rPr>
        <w:t>按照</w:t>
      </w:r>
      <w:r>
        <w:rPr>
          <w:rFonts w:hint="eastAsia" w:ascii="仿宋_GB2312" w:eastAsia="仿宋_GB2312" w:cs="仿宋_GB2312"/>
          <w:sz w:val="32"/>
          <w:szCs w:val="32"/>
          <w:lang w:eastAsia="zh-CN" w:bidi="ar"/>
        </w:rPr>
        <w:t>月活量等条件</w:t>
      </w:r>
      <w:r>
        <w:rPr>
          <w:rFonts w:ascii="仿宋_GB2312" w:eastAsia="仿宋_GB2312" w:cs="仿宋_GB2312"/>
          <w:sz w:val="32"/>
          <w:szCs w:val="32"/>
          <w:lang w:bidi="ar"/>
        </w:rPr>
        <w:t>分档</w:t>
      </w:r>
      <w:r>
        <w:rPr>
          <w:rFonts w:hint="eastAsia" w:ascii="仿宋_GB2312" w:eastAsia="仿宋_GB2312" w:cs="仿宋_GB2312"/>
          <w:sz w:val="32"/>
          <w:szCs w:val="32"/>
          <w:lang w:eastAsia="zh-CN" w:bidi="ar"/>
        </w:rPr>
        <w:t>给予最高</w:t>
      </w:r>
      <w:r>
        <w:rPr>
          <w:rFonts w:hint="eastAsia" w:ascii="仿宋_GB2312" w:eastAsia="仿宋_GB2312" w:cs="仿宋_GB2312"/>
          <w:sz w:val="32"/>
          <w:szCs w:val="32"/>
          <w:lang w:val="en-US" w:eastAsia="zh-CN" w:bidi="ar"/>
        </w:rPr>
        <w:t>200万元奖励；</w:t>
      </w:r>
      <w:r>
        <w:rPr>
          <w:rFonts w:hint="eastAsia" w:ascii="仿宋_GB2312" w:eastAsia="仿宋_GB2312" w:cs="仿宋_GB2312"/>
          <w:sz w:val="32"/>
          <w:szCs w:val="32"/>
          <w:lang w:eastAsia="zh-CN" w:bidi="ar"/>
        </w:rPr>
        <w:t>对</w:t>
      </w:r>
      <w:r>
        <w:rPr>
          <w:rFonts w:ascii="仿宋_GB2312" w:eastAsia="仿宋_GB2312" w:cs="仿宋_GB2312"/>
          <w:sz w:val="32"/>
          <w:szCs w:val="32"/>
          <w:lang w:bidi="ar"/>
        </w:rPr>
        <w:t>商业发行版获XTS认证且有实际使用的</w:t>
      </w:r>
      <w:r>
        <w:rPr>
          <w:rFonts w:hint="eastAsia" w:ascii="仿宋_GB2312" w:eastAsia="仿宋_GB2312" w:cs="仿宋_GB2312"/>
          <w:sz w:val="32"/>
          <w:szCs w:val="32"/>
          <w:lang w:eastAsia="zh-CN" w:bidi="ar"/>
        </w:rPr>
        <w:t>企业</w:t>
      </w:r>
      <w:r>
        <w:rPr>
          <w:rFonts w:ascii="仿宋_GB2312" w:eastAsia="仿宋_GB2312" w:cs="仿宋_GB2312"/>
          <w:sz w:val="32"/>
          <w:szCs w:val="32"/>
          <w:lang w:bidi="ar"/>
        </w:rPr>
        <w:t>，</w:t>
      </w:r>
      <w:r>
        <w:rPr>
          <w:rFonts w:hint="eastAsia" w:ascii="仿宋_GB2312" w:eastAsia="仿宋_GB2312" w:cs="仿宋_GB2312"/>
          <w:sz w:val="32"/>
          <w:szCs w:val="32"/>
          <w:lang w:eastAsia="zh-CN" w:bidi="ar"/>
        </w:rPr>
        <w:t>按操作系统类型</w:t>
      </w:r>
      <w:r>
        <w:rPr>
          <w:rFonts w:ascii="仿宋_GB2312" w:eastAsia="仿宋_GB2312" w:cs="仿宋_GB2312"/>
          <w:sz w:val="32"/>
          <w:szCs w:val="32"/>
          <w:lang w:bidi="ar"/>
        </w:rPr>
        <w:t>给予最高不超过200万元奖励。</w:t>
      </w:r>
    </w:p>
    <w:p w14:paraId="4FB7078E">
      <w:pPr>
        <w:autoSpaceDE w:val="0"/>
        <w:spacing w:line="560" w:lineRule="exact"/>
        <w:ind w:firstLine="640" w:firstLineChars="200"/>
        <w:outlineLvl w:val="0"/>
        <w:rPr>
          <w:rFonts w:hint="eastAsia" w:ascii="仿宋_GB2312" w:eastAsia="楷体_GB2312" w:cs="仿宋_GB2312"/>
          <w:sz w:val="32"/>
          <w:szCs w:val="32"/>
          <w:lang w:eastAsia="zh-CN"/>
        </w:rPr>
      </w:pPr>
      <w:r>
        <w:rPr>
          <w:rFonts w:ascii="楷体_GB2312" w:eastAsia="楷体_GB2312" w:cs="楷体_GB2312"/>
          <w:sz w:val="32"/>
          <w:szCs w:val="32"/>
          <w:lang w:bidi="ar"/>
        </w:rPr>
        <w:t>第</w:t>
      </w:r>
      <w:r>
        <w:rPr>
          <w:rFonts w:hint="eastAsia" w:ascii="楷体_GB2312" w:eastAsia="楷体_GB2312" w:cs="楷体_GB2312"/>
          <w:sz w:val="32"/>
          <w:szCs w:val="32"/>
          <w:lang w:bidi="ar"/>
        </w:rPr>
        <w:t>五</w:t>
      </w:r>
      <w:r>
        <w:rPr>
          <w:rFonts w:ascii="楷体_GB2312" w:eastAsia="楷体_GB2312" w:cs="楷体_GB2312"/>
          <w:sz w:val="32"/>
          <w:szCs w:val="32"/>
          <w:lang w:bidi="ar"/>
        </w:rPr>
        <w:t>条 鸿蒙</w:t>
      </w:r>
      <w:r>
        <w:rPr>
          <w:rFonts w:hint="eastAsia" w:ascii="楷体_GB2312" w:eastAsia="楷体_GB2312" w:cs="楷体_GB2312"/>
          <w:sz w:val="32"/>
          <w:szCs w:val="32"/>
          <w:lang w:eastAsia="zh-CN" w:bidi="ar"/>
        </w:rPr>
        <w:t>化转型</w:t>
      </w:r>
      <w:r>
        <w:rPr>
          <w:rFonts w:ascii="楷体_GB2312" w:eastAsia="楷体_GB2312" w:cs="楷体_GB2312"/>
          <w:sz w:val="32"/>
          <w:szCs w:val="32"/>
          <w:lang w:bidi="ar"/>
        </w:rPr>
        <w:t>服务</w:t>
      </w:r>
      <w:r>
        <w:rPr>
          <w:rFonts w:hint="eastAsia" w:ascii="楷体_GB2312" w:eastAsia="楷体_GB2312" w:cs="楷体_GB2312"/>
          <w:sz w:val="32"/>
          <w:szCs w:val="32"/>
          <w:lang w:eastAsia="zh-CN" w:bidi="ar"/>
        </w:rPr>
        <w:t>支持</w:t>
      </w:r>
    </w:p>
    <w:p w14:paraId="3BA9A66E">
      <w:pPr>
        <w:autoSpaceDE w:val="0"/>
        <w:spacing w:line="560" w:lineRule="exact"/>
        <w:ind w:firstLine="640" w:firstLineChars="200"/>
        <w:rPr>
          <w:rFonts w:ascii="仿宋_GB2312" w:hAnsi="Calibri" w:eastAsia="仿宋_GB2312" w:cs="仿宋_GB2312"/>
          <w:bCs/>
          <w:sz w:val="32"/>
          <w:szCs w:val="32"/>
          <w:lang w:bidi="ar"/>
        </w:rPr>
      </w:pPr>
      <w:r>
        <w:rPr>
          <w:rFonts w:hint="eastAsia" w:ascii="仿宋_GB2312" w:hAnsi="Calibri" w:eastAsia="仿宋_GB2312" w:cs="仿宋_GB2312"/>
          <w:bCs/>
          <w:sz w:val="32"/>
          <w:szCs w:val="32"/>
          <w:lang w:bidi="ar"/>
        </w:rPr>
        <w:t>鼓励企业通过采购编译转换、性能调优、跨平台代码翻译、系统移植与测试认证等鸿蒙相关服务，加快鸿蒙化转型进度，对符合条件的企业提供不超过30万元</w:t>
      </w:r>
      <w:r>
        <w:rPr>
          <w:rFonts w:hint="eastAsia" w:ascii="仿宋_GB2312" w:hAnsi="Calibri" w:eastAsia="仿宋_GB2312" w:cs="仿宋_GB2312"/>
          <w:bCs/>
          <w:sz w:val="32"/>
          <w:szCs w:val="32"/>
          <w:lang w:eastAsia="zh-CN" w:bidi="ar"/>
        </w:rPr>
        <w:t>资助</w:t>
      </w:r>
      <w:r>
        <w:rPr>
          <w:rFonts w:hint="eastAsia" w:ascii="仿宋_GB2312" w:hAnsi="Calibri" w:eastAsia="仿宋_GB2312" w:cs="仿宋_GB2312"/>
          <w:bCs/>
          <w:sz w:val="32"/>
          <w:szCs w:val="32"/>
          <w:lang w:bidi="ar"/>
        </w:rPr>
        <w:t>。</w:t>
      </w:r>
    </w:p>
    <w:p w14:paraId="2EB13657">
      <w:pPr>
        <w:spacing w:line="560" w:lineRule="exact"/>
        <w:ind w:firstLine="640" w:firstLineChars="200"/>
        <w:outlineLvl w:val="0"/>
        <w:rPr>
          <w:rFonts w:hint="eastAsia" w:ascii="楷体_GB2312" w:eastAsia="楷体_GB2312" w:cs="楷体_GB2312"/>
          <w:sz w:val="32"/>
          <w:szCs w:val="32"/>
        </w:rPr>
      </w:pPr>
      <w:r>
        <w:rPr>
          <w:rFonts w:ascii="楷体_GB2312" w:eastAsia="楷体_GB2312" w:cs="楷体_GB2312"/>
          <w:sz w:val="32"/>
          <w:szCs w:val="32"/>
          <w:lang w:bidi="ar"/>
        </w:rPr>
        <w:t>第</w:t>
      </w:r>
      <w:r>
        <w:rPr>
          <w:rFonts w:hint="eastAsia" w:ascii="楷体_GB2312" w:eastAsia="楷体_GB2312" w:cs="楷体_GB2312"/>
          <w:sz w:val="32"/>
          <w:szCs w:val="32"/>
          <w:lang w:bidi="ar"/>
        </w:rPr>
        <w:t>六</w:t>
      </w:r>
      <w:r>
        <w:rPr>
          <w:rFonts w:ascii="楷体_GB2312" w:eastAsia="楷体_GB2312" w:cs="楷体_GB2312"/>
          <w:sz w:val="32"/>
          <w:szCs w:val="32"/>
          <w:lang w:bidi="ar"/>
        </w:rPr>
        <w:t>条 鸿蒙应用场景揭榜挂帅</w:t>
      </w:r>
    </w:p>
    <w:p w14:paraId="5E0FE2F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鼓励企事业单位及机构积极参与鸿蒙产业领域的应用场景建设，对应用需求方和能力提供方分别给予最高300万元、500万元资助。</w:t>
      </w:r>
    </w:p>
    <w:p w14:paraId="7C8455ED">
      <w:pPr>
        <w:spacing w:line="560" w:lineRule="exact"/>
        <w:ind w:firstLine="640" w:firstLineChars="200"/>
        <w:outlineLvl w:val="0"/>
        <w:rPr>
          <w:rFonts w:hint="eastAsia" w:ascii="楷体_GB2312" w:eastAsia="楷体_GB2312" w:cs="楷体_GB2312"/>
          <w:sz w:val="32"/>
          <w:szCs w:val="32"/>
        </w:rPr>
      </w:pPr>
      <w:r>
        <w:rPr>
          <w:rFonts w:ascii="楷体_GB2312" w:eastAsia="楷体_GB2312" w:cs="楷体_GB2312"/>
          <w:sz w:val="32"/>
          <w:szCs w:val="32"/>
          <w:lang w:bidi="ar"/>
        </w:rPr>
        <w:t>第</w:t>
      </w:r>
      <w:r>
        <w:rPr>
          <w:rFonts w:hint="eastAsia" w:ascii="楷体_GB2312" w:eastAsia="楷体_GB2312" w:cs="楷体_GB2312"/>
          <w:sz w:val="32"/>
          <w:szCs w:val="32"/>
          <w:lang w:bidi="ar"/>
        </w:rPr>
        <w:t>七</w:t>
      </w:r>
      <w:r>
        <w:rPr>
          <w:rFonts w:ascii="楷体_GB2312" w:eastAsia="楷体_GB2312" w:cs="楷体_GB2312"/>
          <w:sz w:val="32"/>
          <w:szCs w:val="32"/>
          <w:lang w:bidi="ar"/>
        </w:rPr>
        <w:t>条 鸿蒙企业稳定经营支持</w:t>
      </w:r>
    </w:p>
    <w:p w14:paraId="7BE15317">
      <w:pPr>
        <w:autoSpaceDE w:val="0"/>
        <w:spacing w:line="560" w:lineRule="exact"/>
        <w:ind w:firstLine="640" w:firstLineChars="200"/>
        <w:outlineLvl w:val="1"/>
        <w:rPr>
          <w:rFonts w:hint="eastAsia" w:ascii="仿宋_GB2312" w:eastAsia="仿宋_GB2312" w:cs="仿宋_GB2312"/>
          <w:sz w:val="32"/>
          <w:szCs w:val="32"/>
        </w:rPr>
      </w:pPr>
      <w:r>
        <w:rPr>
          <w:rFonts w:ascii="仿宋_GB2312" w:eastAsia="仿宋_GB2312" w:cs="仿宋_GB2312"/>
          <w:sz w:val="32"/>
          <w:szCs w:val="32"/>
          <w:lang w:bidi="ar"/>
        </w:rPr>
        <w:t>对符合条件的鸿蒙</w:t>
      </w:r>
      <w:r>
        <w:rPr>
          <w:rFonts w:hint="eastAsia" w:ascii="仿宋_GB2312" w:eastAsia="仿宋_GB2312" w:cs="仿宋_GB2312"/>
          <w:sz w:val="32"/>
          <w:szCs w:val="32"/>
          <w:lang w:eastAsia="zh-CN" w:bidi="ar"/>
        </w:rPr>
        <w:t>生产制造、发行版、原生应用等</w:t>
      </w:r>
      <w:r>
        <w:rPr>
          <w:rFonts w:ascii="仿宋_GB2312" w:eastAsia="仿宋_GB2312" w:cs="仿宋_GB2312"/>
          <w:sz w:val="32"/>
          <w:szCs w:val="32"/>
          <w:lang w:bidi="ar"/>
        </w:rPr>
        <w:t>企业，</w:t>
      </w:r>
      <w:r>
        <w:rPr>
          <w:rFonts w:hint="eastAsia" w:ascii="仿宋_GB2312" w:eastAsia="仿宋_GB2312" w:cs="仿宋_GB2312"/>
          <w:sz w:val="32"/>
          <w:szCs w:val="32"/>
          <w:lang w:eastAsia="zh-CN" w:bidi="ar"/>
        </w:rPr>
        <w:t>按照企业成长性等条件分档，</w:t>
      </w:r>
      <w:r>
        <w:rPr>
          <w:rFonts w:ascii="仿宋_GB2312" w:eastAsia="仿宋_GB2312" w:cs="仿宋_GB2312"/>
          <w:sz w:val="32"/>
          <w:szCs w:val="32"/>
          <w:lang w:bidi="ar"/>
        </w:rPr>
        <w:t>给予每年最高</w:t>
      </w:r>
      <w:r>
        <w:rPr>
          <w:rFonts w:hint="eastAsia" w:ascii="仿宋_GB2312" w:eastAsia="仿宋_GB2312" w:cs="仿宋_GB2312"/>
          <w:sz w:val="32"/>
          <w:szCs w:val="32"/>
          <w:lang w:bidi="ar"/>
        </w:rPr>
        <w:t>5</w:t>
      </w:r>
      <w:r>
        <w:rPr>
          <w:rFonts w:ascii="仿宋_GB2312" w:eastAsia="仿宋_GB2312" w:cs="仿宋_GB2312"/>
          <w:sz w:val="32"/>
          <w:szCs w:val="32"/>
          <w:lang w:bidi="ar"/>
        </w:rPr>
        <w:t>00万元的稳定经营支持。</w:t>
      </w:r>
    </w:p>
    <w:p w14:paraId="196E01E6">
      <w:pPr>
        <w:spacing w:line="560" w:lineRule="exact"/>
        <w:ind w:firstLine="640" w:firstLineChars="200"/>
        <w:outlineLvl w:val="0"/>
        <w:rPr>
          <w:rFonts w:hint="eastAsia" w:ascii="楷体_GB2312" w:eastAsia="楷体_GB2312" w:cs="楷体_GB2312"/>
          <w:sz w:val="32"/>
          <w:szCs w:val="32"/>
        </w:rPr>
      </w:pPr>
      <w:r>
        <w:rPr>
          <w:rFonts w:ascii="楷体_GB2312" w:eastAsia="楷体_GB2312" w:cs="楷体_GB2312"/>
          <w:sz w:val="32"/>
          <w:szCs w:val="32"/>
          <w:lang w:bidi="ar"/>
        </w:rPr>
        <w:t>第</w:t>
      </w:r>
      <w:r>
        <w:rPr>
          <w:rFonts w:hint="eastAsia" w:ascii="楷体_GB2312" w:eastAsia="楷体_GB2312" w:cs="楷体_GB2312"/>
          <w:sz w:val="32"/>
          <w:szCs w:val="32"/>
          <w:lang w:bidi="ar"/>
        </w:rPr>
        <w:t>八</w:t>
      </w:r>
      <w:r>
        <w:rPr>
          <w:rFonts w:ascii="楷体_GB2312" w:eastAsia="楷体_GB2312" w:cs="楷体_GB2312"/>
          <w:sz w:val="32"/>
          <w:szCs w:val="32"/>
          <w:lang w:bidi="ar"/>
        </w:rPr>
        <w:t>条 鼓励鸿蒙人才提升专业技能</w:t>
      </w:r>
    </w:p>
    <w:p w14:paraId="2C4B8E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对员工取得</w:t>
      </w:r>
      <w:r>
        <w:rPr>
          <w:rFonts w:hint="eastAsia" w:ascii="仿宋_GB2312" w:hAnsi="仿宋_GB2312" w:eastAsia="仿宋_GB2312" w:cs="仿宋_GB2312"/>
          <w:sz w:val="32"/>
          <w:szCs w:val="32"/>
          <w:lang w:val="en-US" w:eastAsia="zh-CN"/>
        </w:rPr>
        <w:t>HarmonyOS应用开发者高级认证等鸿蒙</w:t>
      </w:r>
      <w:r>
        <w:rPr>
          <w:rFonts w:hint="eastAsia" w:ascii="仿宋_GB2312" w:hAnsi="仿宋_GB2312" w:eastAsia="仿宋_GB2312" w:cs="仿宋_GB2312"/>
          <w:sz w:val="32"/>
          <w:szCs w:val="32"/>
        </w:rPr>
        <w:t>相关专业证书的企业，按照每人不超过2万元的标准给予一次性奖励。</w:t>
      </w:r>
    </w:p>
    <w:p w14:paraId="16BE57DF">
      <w:pPr>
        <w:spacing w:line="560" w:lineRule="exact"/>
        <w:ind w:firstLine="640" w:firstLineChars="200"/>
        <w:outlineLvl w:val="0"/>
        <w:rPr>
          <w:rFonts w:hint="eastAsia" w:ascii="楷体_GB2312" w:eastAsia="楷体_GB2312" w:cs="楷体_GB2312"/>
          <w:sz w:val="32"/>
          <w:szCs w:val="32"/>
        </w:rPr>
      </w:pPr>
      <w:r>
        <w:rPr>
          <w:rFonts w:ascii="楷体_GB2312" w:eastAsia="楷体_GB2312" w:cs="楷体_GB2312"/>
          <w:sz w:val="32"/>
          <w:szCs w:val="32"/>
          <w:lang w:bidi="ar"/>
        </w:rPr>
        <w:t>第</w:t>
      </w:r>
      <w:r>
        <w:rPr>
          <w:rFonts w:hint="eastAsia" w:ascii="楷体_GB2312" w:eastAsia="楷体_GB2312" w:cs="楷体_GB2312"/>
          <w:sz w:val="32"/>
          <w:szCs w:val="32"/>
          <w:lang w:bidi="ar"/>
        </w:rPr>
        <w:t>九</w:t>
      </w:r>
      <w:r>
        <w:rPr>
          <w:rFonts w:ascii="楷体_GB2312" w:eastAsia="楷体_GB2312" w:cs="楷体_GB2312"/>
          <w:sz w:val="32"/>
          <w:szCs w:val="32"/>
          <w:lang w:bidi="ar"/>
        </w:rPr>
        <w:t>条 鸿蒙公共服务平台建设支持</w:t>
      </w:r>
    </w:p>
    <w:p w14:paraId="44321A0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对鸿蒙公共服务平台开展成果转化、共性技术研发共享、产业生态构建等公共服务事项，每年给予最高2000万元资金支持。</w:t>
      </w:r>
    </w:p>
    <w:p w14:paraId="3F068165">
      <w:pPr>
        <w:autoSpaceDE w:val="0"/>
        <w:spacing w:line="560" w:lineRule="exact"/>
        <w:ind w:firstLine="640" w:firstLineChars="200"/>
        <w:outlineLvl w:val="0"/>
        <w:rPr>
          <w:rFonts w:hint="eastAsia" w:ascii="仿宋_GB2312" w:eastAsia="仿宋_GB2312" w:cs="仿宋_GB2312"/>
          <w:sz w:val="32"/>
          <w:szCs w:val="32"/>
        </w:rPr>
      </w:pPr>
      <w:r>
        <w:rPr>
          <w:rFonts w:ascii="楷体_GB2312" w:eastAsia="楷体_GB2312" w:cs="楷体_GB2312"/>
          <w:sz w:val="32"/>
          <w:szCs w:val="32"/>
          <w:lang w:bidi="ar"/>
        </w:rPr>
        <w:t>第</w:t>
      </w:r>
      <w:r>
        <w:rPr>
          <w:rFonts w:ascii="楷体_GB2312" w:eastAsia="楷体_GB2312" w:cs="楷体_GB2312"/>
          <w:bCs/>
          <w:sz w:val="32"/>
          <w:szCs w:val="32"/>
          <w:lang w:bidi="ar"/>
        </w:rPr>
        <w:t>十</w:t>
      </w:r>
      <w:r>
        <w:rPr>
          <w:rFonts w:ascii="楷体_GB2312" w:eastAsia="楷体_GB2312" w:cs="楷体_GB2312"/>
          <w:sz w:val="32"/>
          <w:szCs w:val="32"/>
          <w:lang w:bidi="ar"/>
        </w:rPr>
        <w:t>条 鸿蒙</w:t>
      </w:r>
      <w:r>
        <w:rPr>
          <w:rFonts w:hint="eastAsia" w:ascii="楷体_GB2312" w:eastAsia="楷体_GB2312" w:cs="楷体_GB2312"/>
          <w:sz w:val="32"/>
          <w:szCs w:val="32"/>
          <w:lang w:eastAsia="zh-CN" w:bidi="ar"/>
        </w:rPr>
        <w:t>产业</w:t>
      </w:r>
      <w:r>
        <w:rPr>
          <w:rFonts w:hint="eastAsia" w:ascii="楷体_GB2312" w:eastAsia="楷体_GB2312" w:cs="楷体_GB2312"/>
          <w:sz w:val="32"/>
          <w:szCs w:val="32"/>
          <w:lang w:bidi="ar"/>
        </w:rPr>
        <w:t>标准支持</w:t>
      </w:r>
    </w:p>
    <w:p w14:paraId="69DB5DE2">
      <w:pPr>
        <w:autoSpaceDE w:val="0"/>
        <w:spacing w:line="560" w:lineRule="exact"/>
        <w:ind w:firstLine="640" w:firstLineChars="200"/>
        <w:rPr>
          <w:rFonts w:hint="eastAsia" w:ascii="仿宋_GB2312" w:eastAsia="仿宋_GB2312" w:cs="仿宋_GB2312"/>
          <w:bCs/>
          <w:sz w:val="32"/>
          <w:szCs w:val="32"/>
        </w:rPr>
      </w:pPr>
      <w:r>
        <w:rPr>
          <w:rFonts w:hint="eastAsia" w:ascii="仿宋_GB2312" w:hAnsi="Calibri" w:eastAsia="仿宋_GB2312" w:cs="仿宋_GB2312"/>
          <w:bCs/>
          <w:sz w:val="32"/>
          <w:szCs w:val="32"/>
          <w:lang w:bidi="ar"/>
        </w:rPr>
        <w:t>鼓励企事业单位、各类机构深度参与鸿蒙产业标准研制与落地实施。对主导编制鸿蒙产业相关标准，</w:t>
      </w:r>
      <w:r>
        <w:rPr>
          <w:rFonts w:hint="eastAsia" w:ascii="仿宋_GB2312" w:hAnsi="Calibri" w:eastAsia="仿宋_GB2312" w:cs="仿宋_GB2312"/>
          <w:bCs/>
          <w:sz w:val="32"/>
          <w:szCs w:val="32"/>
          <w:lang w:eastAsia="zh-CN" w:bidi="ar"/>
        </w:rPr>
        <w:t>且</w:t>
      </w:r>
      <w:r>
        <w:rPr>
          <w:rFonts w:hint="eastAsia" w:ascii="仿宋_GB2312" w:hAnsi="Calibri" w:eastAsia="仿宋_GB2312" w:cs="仿宋_GB2312"/>
          <w:bCs/>
          <w:sz w:val="32"/>
          <w:szCs w:val="32"/>
          <w:lang w:bidi="ar"/>
        </w:rPr>
        <w:t>实施鸿蒙产业标准取得实效的单位，给予最高500万元奖励。</w:t>
      </w:r>
    </w:p>
    <w:p w14:paraId="5843CE86">
      <w:pPr>
        <w:autoSpaceDE w:val="0"/>
        <w:spacing w:line="560" w:lineRule="exact"/>
        <w:jc w:val="center"/>
        <w:outlineLvl w:val="1"/>
        <w:rPr>
          <w:rFonts w:ascii="SimHei" w:hAnsi="宋体" w:eastAsia="SimHei" w:cs="SimHei"/>
          <w:bCs/>
          <w:sz w:val="32"/>
          <w:szCs w:val="32"/>
        </w:rPr>
      </w:pPr>
      <w:r>
        <w:rPr>
          <w:rFonts w:ascii="SimHei" w:hAnsi="宋体" w:eastAsia="SimHei" w:cs="SimHei"/>
          <w:bCs/>
          <w:sz w:val="32"/>
          <w:szCs w:val="32"/>
          <w:lang w:bidi="ar"/>
        </w:rPr>
        <w:t xml:space="preserve"> </w:t>
      </w:r>
    </w:p>
    <w:p w14:paraId="58E6EA82">
      <w:pPr>
        <w:autoSpaceDE w:val="0"/>
        <w:spacing w:line="560" w:lineRule="exact"/>
        <w:jc w:val="center"/>
        <w:outlineLvl w:val="1"/>
        <w:rPr>
          <w:rFonts w:ascii="SimHei" w:hAnsi="宋体" w:eastAsia="SimHei" w:cs="SimHei"/>
          <w:bCs/>
          <w:sz w:val="32"/>
          <w:szCs w:val="32"/>
        </w:rPr>
      </w:pPr>
      <w:r>
        <w:rPr>
          <w:rFonts w:ascii="SimHei" w:hAnsi="宋体" w:eastAsia="SimHei" w:cs="SimHei"/>
          <w:bCs/>
          <w:sz w:val="32"/>
          <w:szCs w:val="32"/>
          <w:lang w:bidi="ar"/>
        </w:rPr>
        <w:t>第三章  附则</w:t>
      </w:r>
    </w:p>
    <w:p w14:paraId="7C77BEA9">
      <w:pPr>
        <w:autoSpaceDE w:val="0"/>
        <w:spacing w:line="560" w:lineRule="exact"/>
        <w:ind w:firstLine="640" w:firstLineChars="200"/>
        <w:outlineLvl w:val="1"/>
        <w:rPr>
          <w:rFonts w:hint="eastAsia" w:ascii="仿宋_GB2312" w:eastAsia="仿宋_GB2312" w:cs="仿宋_GB2312"/>
          <w:bCs/>
          <w:sz w:val="32"/>
          <w:szCs w:val="32"/>
        </w:rPr>
      </w:pPr>
      <w:r>
        <w:rPr>
          <w:rFonts w:ascii="楷体_GB2312" w:eastAsia="楷体_GB2312" w:cs="楷体_GB2312"/>
          <w:sz w:val="32"/>
          <w:szCs w:val="32"/>
          <w:lang w:bidi="ar"/>
        </w:rPr>
        <w:t>第</w:t>
      </w:r>
      <w:r>
        <w:rPr>
          <w:rFonts w:ascii="楷体_GB2312" w:eastAsia="楷体_GB2312" w:cs="楷体_GB2312"/>
          <w:bCs/>
          <w:sz w:val="32"/>
          <w:szCs w:val="32"/>
          <w:lang w:bidi="ar"/>
        </w:rPr>
        <w:t>十</w:t>
      </w:r>
      <w:r>
        <w:rPr>
          <w:rFonts w:hint="eastAsia" w:ascii="楷体_GB2312" w:eastAsia="楷体_GB2312" w:cs="楷体_GB2312"/>
          <w:bCs/>
          <w:sz w:val="32"/>
          <w:szCs w:val="32"/>
          <w:lang w:bidi="ar"/>
        </w:rPr>
        <w:t>一</w:t>
      </w:r>
      <w:r>
        <w:rPr>
          <w:rFonts w:ascii="楷体_GB2312" w:eastAsia="楷体_GB2312" w:cs="楷体_GB2312"/>
          <w:sz w:val="32"/>
          <w:szCs w:val="32"/>
          <w:lang w:bidi="ar"/>
        </w:rPr>
        <w:t xml:space="preserve">条 </w:t>
      </w:r>
      <w:r>
        <w:rPr>
          <w:rFonts w:ascii="仿宋_GB2312" w:eastAsia="仿宋_GB2312" w:cs="仿宋_GB2312"/>
          <w:bCs/>
          <w:sz w:val="32"/>
          <w:szCs w:val="32"/>
          <w:lang w:bidi="ar"/>
        </w:rPr>
        <w:t>本措施的奖励与补助资金在南山区促进产业高质量发展专项资金中列支。</w:t>
      </w:r>
    </w:p>
    <w:p w14:paraId="6FD16E30">
      <w:pPr>
        <w:autoSpaceDE w:val="0"/>
        <w:spacing w:line="560" w:lineRule="exact"/>
        <w:ind w:firstLine="640" w:firstLineChars="200"/>
        <w:outlineLvl w:val="1"/>
        <w:rPr>
          <w:rFonts w:hint="eastAsia" w:ascii="仿宋_GB2312" w:eastAsia="仿宋_GB2312" w:cs="仿宋_GB2312"/>
          <w:bCs/>
          <w:sz w:val="32"/>
          <w:szCs w:val="32"/>
        </w:rPr>
      </w:pPr>
      <w:r>
        <w:rPr>
          <w:rFonts w:ascii="楷体_GB2312" w:eastAsia="楷体_GB2312" w:cs="楷体_GB2312"/>
          <w:bCs/>
          <w:sz w:val="32"/>
          <w:szCs w:val="32"/>
          <w:lang w:bidi="ar"/>
        </w:rPr>
        <w:t>第十</w:t>
      </w:r>
      <w:r>
        <w:rPr>
          <w:rFonts w:hint="eastAsia" w:ascii="楷体_GB2312" w:eastAsia="楷体_GB2312" w:cs="楷体_GB2312"/>
          <w:bCs/>
          <w:sz w:val="32"/>
          <w:szCs w:val="32"/>
          <w:lang w:bidi="ar"/>
        </w:rPr>
        <w:t>二</w:t>
      </w:r>
      <w:r>
        <w:rPr>
          <w:rFonts w:ascii="楷体_GB2312" w:eastAsia="楷体_GB2312" w:cs="楷体_GB2312"/>
          <w:bCs/>
          <w:sz w:val="32"/>
          <w:szCs w:val="32"/>
          <w:lang w:bidi="ar"/>
        </w:rPr>
        <w:t xml:space="preserve">条 </w:t>
      </w:r>
      <w:r>
        <w:rPr>
          <w:rFonts w:ascii="仿宋_GB2312" w:eastAsia="仿宋_GB2312" w:cs="仿宋_GB2312"/>
          <w:bCs/>
          <w:sz w:val="32"/>
          <w:szCs w:val="32"/>
          <w:lang w:bidi="ar"/>
        </w:rPr>
        <w:t>本措施由区工业和信息化局负责解释，并制定与本措施相关的操作规程。</w:t>
      </w:r>
    </w:p>
    <w:p w14:paraId="523A341C">
      <w:pPr>
        <w:autoSpaceDE w:val="0"/>
        <w:spacing w:line="560" w:lineRule="exact"/>
        <w:ind w:firstLine="640" w:firstLineChars="200"/>
        <w:jc w:val="left"/>
        <w:outlineLvl w:val="1"/>
        <w:rPr>
          <w:rFonts w:hint="eastAsia" w:ascii="仿宋_GB2312" w:eastAsia="仿宋_GB2312" w:cs="仿宋_GB2312"/>
          <w:bCs/>
          <w:sz w:val="32"/>
          <w:szCs w:val="32"/>
        </w:rPr>
      </w:pPr>
      <w:r>
        <w:rPr>
          <w:rFonts w:ascii="楷体_GB2312" w:eastAsia="楷体_GB2312" w:cs="楷体_GB2312"/>
          <w:bCs/>
          <w:sz w:val="32"/>
          <w:szCs w:val="32"/>
          <w:lang w:bidi="ar"/>
        </w:rPr>
        <w:t>第十</w:t>
      </w:r>
      <w:r>
        <w:rPr>
          <w:rFonts w:hint="eastAsia" w:ascii="楷体_GB2312" w:eastAsia="楷体_GB2312" w:cs="楷体_GB2312"/>
          <w:bCs/>
          <w:sz w:val="32"/>
          <w:szCs w:val="32"/>
          <w:lang w:bidi="ar"/>
        </w:rPr>
        <w:t>三</w:t>
      </w:r>
      <w:r>
        <w:rPr>
          <w:rFonts w:ascii="楷体_GB2312" w:eastAsia="楷体_GB2312" w:cs="楷体_GB2312"/>
          <w:bCs/>
          <w:sz w:val="32"/>
          <w:szCs w:val="32"/>
          <w:lang w:bidi="ar"/>
        </w:rPr>
        <w:t xml:space="preserve">条 </w:t>
      </w:r>
      <w:r>
        <w:rPr>
          <w:rFonts w:ascii="仿宋_GB2312" w:eastAsia="仿宋_GB2312" w:cs="仿宋_GB2312"/>
          <w:bCs/>
          <w:sz w:val="32"/>
          <w:szCs w:val="32"/>
          <w:lang w:bidi="ar"/>
        </w:rPr>
        <w:t>本措施自2026年XX月XX日起施行，有效期三年。</w:t>
      </w:r>
    </w:p>
    <w:p w14:paraId="307C8B64">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仿宋_GB2312"/>
    <w:panose1 w:val="05000000000000000000"/>
    <w:charset w:val="02"/>
    <w:family w:val="auto"/>
    <w:pitch w:val="default"/>
    <w:sig w:usb0="00000000" w:usb1="00000000" w:usb2="00000000" w:usb3="00000000" w:csb0="80000000" w:csb1="00000000"/>
  </w:font>
  <w:font w:name="Arial">
    <w:altName w:val="仿宋_GB2312"/>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仿宋_GB2312"/>
    <w:panose1 w:val="02070309020205020404"/>
    <w:charset w:val="01"/>
    <w:family w:val="modern"/>
    <w:pitch w:val="default"/>
    <w:sig w:usb0="E0002AFF" w:usb1="C0007843" w:usb2="00000009" w:usb3="00000000" w:csb0="400001FF" w:csb1="FFFF0000"/>
  </w:font>
  <w:font w:name="Symbol">
    <w:altName w:val="仿宋_GB231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微软雅黑">
    <w:altName w:val="黑体"/>
    <w:panose1 w:val="020B0503020204020204"/>
    <w:charset w:val="86"/>
    <w:family w:val="swiss"/>
    <w:pitch w:val="default"/>
    <w:sig w:usb0="00000000" w:usb1="00000000" w:usb2="00000016" w:usb3="00000000" w:csb0="0004001F" w:csb1="00000000"/>
  </w:font>
  <w:font w:name="SimHei">
    <w:panose1 w:val="02010600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Arial">
    <w:altName w:val="仿宋_GB2312"/>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7CB52"/>
    <w:multiLevelType w:val="multilevel"/>
    <w:tmpl w:val="BE77CB52"/>
    <w:lvl w:ilvl="0" w:tentative="0">
      <w:start w:val="1"/>
      <w:numFmt w:val="chineseCountingThousand"/>
      <w:pStyle w:val="4"/>
      <w:lvlText w:val="第%1条"/>
      <w:lvlJc w:val="left"/>
      <w:pPr>
        <w:ind w:left="640" w:hanging="440"/>
      </w:pPr>
      <w:rPr>
        <w:rFonts w:hint="eastAsia" w:ascii="楷体_GB2312" w:hAnsi="楷体_GB2312" w:eastAsia="楷体_GB2312" w:cs="楷体_GB2312"/>
        <w:sz w:val="32"/>
      </w:rPr>
    </w:lvl>
    <w:lvl w:ilvl="1" w:tentative="0">
      <w:start w:val="1"/>
      <w:numFmt w:val="lowerLetter"/>
      <w:lvlText w:val="%2)"/>
      <w:lvlJc w:val="left"/>
      <w:pPr>
        <w:ind w:left="1080" w:hanging="440"/>
      </w:pPr>
      <w:rPr>
        <w:rFonts w:hint="eastAsia"/>
      </w:rPr>
    </w:lvl>
    <w:lvl w:ilvl="2" w:tentative="0">
      <w:start w:val="1"/>
      <w:numFmt w:val="lowerRoman"/>
      <w:lvlText w:val="%3."/>
      <w:lvlJc w:val="right"/>
      <w:pPr>
        <w:ind w:left="1520" w:hanging="440"/>
      </w:pPr>
      <w:rPr>
        <w:rFonts w:hint="eastAsia"/>
      </w:rPr>
    </w:lvl>
    <w:lvl w:ilvl="3" w:tentative="0">
      <w:start w:val="1"/>
      <w:numFmt w:val="decimal"/>
      <w:lvlText w:val="%4."/>
      <w:lvlJc w:val="left"/>
      <w:pPr>
        <w:ind w:left="1960" w:hanging="440"/>
      </w:pPr>
      <w:rPr>
        <w:rFonts w:hint="eastAsia"/>
      </w:rPr>
    </w:lvl>
    <w:lvl w:ilvl="4" w:tentative="0">
      <w:start w:val="1"/>
      <w:numFmt w:val="lowerLetter"/>
      <w:lvlText w:val="%5)"/>
      <w:lvlJc w:val="left"/>
      <w:pPr>
        <w:ind w:left="2400" w:hanging="440"/>
      </w:pPr>
      <w:rPr>
        <w:rFonts w:hint="eastAsia"/>
      </w:rPr>
    </w:lvl>
    <w:lvl w:ilvl="5" w:tentative="0">
      <w:start w:val="1"/>
      <w:numFmt w:val="lowerRoman"/>
      <w:lvlText w:val="%6."/>
      <w:lvlJc w:val="right"/>
      <w:pPr>
        <w:ind w:left="2840" w:hanging="440"/>
      </w:pPr>
      <w:rPr>
        <w:rFonts w:hint="eastAsia"/>
      </w:rPr>
    </w:lvl>
    <w:lvl w:ilvl="6" w:tentative="0">
      <w:start w:val="1"/>
      <w:numFmt w:val="decimal"/>
      <w:lvlText w:val="%7."/>
      <w:lvlJc w:val="left"/>
      <w:pPr>
        <w:ind w:left="3280" w:hanging="440"/>
      </w:pPr>
      <w:rPr>
        <w:rFonts w:hint="eastAsia"/>
      </w:rPr>
    </w:lvl>
    <w:lvl w:ilvl="7" w:tentative="0">
      <w:start w:val="1"/>
      <w:numFmt w:val="lowerLetter"/>
      <w:lvlText w:val="%8)"/>
      <w:lvlJc w:val="left"/>
      <w:pPr>
        <w:ind w:left="3720" w:hanging="440"/>
      </w:pPr>
      <w:rPr>
        <w:rFonts w:hint="eastAsia"/>
      </w:rPr>
    </w:lvl>
    <w:lvl w:ilvl="8" w:tentative="0">
      <w:start w:val="1"/>
      <w:numFmt w:val="lowerRoman"/>
      <w:lvlText w:val="%9."/>
      <w:lvlJc w:val="right"/>
      <w:pPr>
        <w:ind w:left="4160" w:hanging="4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A744BC"/>
    <w:rsid w:val="000222EF"/>
    <w:rsid w:val="005A520D"/>
    <w:rsid w:val="00F34B61"/>
    <w:rsid w:val="1FEFC71D"/>
    <w:rsid w:val="2DF904D4"/>
    <w:rsid w:val="352EB5FE"/>
    <w:rsid w:val="367EFA16"/>
    <w:rsid w:val="3F4F3647"/>
    <w:rsid w:val="3FFF50D9"/>
    <w:rsid w:val="4EFD0EAE"/>
    <w:rsid w:val="67FC99D5"/>
    <w:rsid w:val="6BCC4308"/>
    <w:rsid w:val="6BF78670"/>
    <w:rsid w:val="736EB586"/>
    <w:rsid w:val="75BAD287"/>
    <w:rsid w:val="797A7753"/>
    <w:rsid w:val="7DBF6F05"/>
    <w:rsid w:val="7DCF80FC"/>
    <w:rsid w:val="7FBFE834"/>
    <w:rsid w:val="7FF63E97"/>
    <w:rsid w:val="87EF0054"/>
    <w:rsid w:val="8DFAA3C7"/>
    <w:rsid w:val="9FC8F9A0"/>
    <w:rsid w:val="A4DFE221"/>
    <w:rsid w:val="AF7699EB"/>
    <w:rsid w:val="AFD7CF20"/>
    <w:rsid w:val="B9FD168A"/>
    <w:rsid w:val="BEFBBB61"/>
    <w:rsid w:val="CF7F19D4"/>
    <w:rsid w:val="DDFFAF41"/>
    <w:rsid w:val="DEBFEF99"/>
    <w:rsid w:val="DEFFF617"/>
    <w:rsid w:val="DFABD28C"/>
    <w:rsid w:val="E4D89E03"/>
    <w:rsid w:val="E6F8947E"/>
    <w:rsid w:val="E9FB2A5C"/>
    <w:rsid w:val="EF71F1CA"/>
    <w:rsid w:val="EFEB0F60"/>
    <w:rsid w:val="EFEFEF5A"/>
    <w:rsid w:val="F3EC0B74"/>
    <w:rsid w:val="F9EE3631"/>
    <w:rsid w:val="F9FDBD5B"/>
    <w:rsid w:val="FB574766"/>
    <w:rsid w:val="FB7E1508"/>
    <w:rsid w:val="FB7ED7BC"/>
    <w:rsid w:val="FBFD5BEB"/>
    <w:rsid w:val="FDA744BC"/>
    <w:rsid w:val="FDEFA5D1"/>
    <w:rsid w:val="FEEF67F7"/>
    <w:rsid w:val="FEF5AEDC"/>
    <w:rsid w:val="FFF77DED"/>
    <w:rsid w:val="FFFB8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qFormat/>
    <w:uiPriority w:val="0"/>
    <w:pPr>
      <w:keepNext/>
      <w:keepLines/>
      <w:spacing w:line="560" w:lineRule="exact"/>
      <w:jc w:val="center"/>
      <w:outlineLvl w:val="0"/>
    </w:pPr>
    <w:rPr>
      <w:rFonts w:eastAsia="方正小标宋简体"/>
      <w:kern w:val="44"/>
      <w:sz w:val="44"/>
    </w:rPr>
  </w:style>
  <w:style w:type="paragraph" w:styleId="4">
    <w:name w:val="heading 2"/>
    <w:basedOn w:val="1"/>
    <w:next w:val="1"/>
    <w:link w:val="11"/>
    <w:semiHidden/>
    <w:unhideWhenUsed/>
    <w:qFormat/>
    <w:uiPriority w:val="0"/>
    <w:pPr>
      <w:keepNext/>
      <w:keepLines/>
      <w:numPr>
        <w:ilvl w:val="0"/>
        <w:numId w:val="1"/>
      </w:numPr>
      <w:ind w:left="0" w:firstLine="880" w:firstLineChars="200"/>
      <w:outlineLvl w:val="1"/>
    </w:pPr>
    <w:rPr>
      <w:rFonts w:ascii="SimHei" w:hAnsi="SimHei" w:eastAsia="SimHei" w:cs="SimHei"/>
    </w:rPr>
  </w:style>
  <w:style w:type="paragraph" w:styleId="5">
    <w:name w:val="heading 3"/>
    <w:basedOn w:val="1"/>
    <w:next w:val="1"/>
    <w:semiHidden/>
    <w:unhideWhenUsed/>
    <w:qFormat/>
    <w:uiPriority w:val="0"/>
    <w:pPr>
      <w:keepNext/>
      <w:keepLines/>
      <w:spacing w:line="560" w:lineRule="exact"/>
      <w:ind w:firstLine="642" w:firstLineChars="200"/>
      <w:outlineLvl w:val="2"/>
    </w:pPr>
    <w:rPr>
      <w:rFonts w:eastAsia="楷体_GB2312" w:asciiTheme="minorHAnsi" w:hAnsiTheme="minorHAnsi" w:cstheme="minorBidi"/>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b/>
      <w:bCs/>
      <w:sz w:val="28"/>
      <w:szCs w:val="28"/>
    </w:rPr>
  </w:style>
  <w:style w:type="paragraph" w:styleId="6">
    <w:name w:val="annotation text"/>
    <w:basedOn w:val="1"/>
    <w:qFormat/>
    <w:uiPriority w:val="0"/>
    <w:pPr>
      <w:jc w:val="left"/>
    </w:pPr>
  </w:style>
  <w:style w:type="paragraph" w:styleId="7">
    <w:name w:val="Normal (Web)"/>
    <w:basedOn w:val="1"/>
    <w:qFormat/>
    <w:uiPriority w:val="0"/>
    <w:pPr>
      <w:spacing w:beforeAutospacing="1" w:afterAutospacing="1"/>
      <w:jc w:val="left"/>
    </w:pPr>
    <w:rPr>
      <w:kern w:val="0"/>
      <w:sz w:val="24"/>
    </w:rPr>
  </w:style>
  <w:style w:type="character" w:styleId="10">
    <w:name w:val="Strong"/>
    <w:basedOn w:val="9"/>
    <w:qFormat/>
    <w:uiPriority w:val="0"/>
    <w:rPr>
      <w:b/>
    </w:rPr>
  </w:style>
  <w:style w:type="character" w:customStyle="1" w:styleId="11">
    <w:name w:val="标题 2 字符"/>
    <w:basedOn w:val="9"/>
    <w:link w:val="4"/>
    <w:qFormat/>
    <w:uiPriority w:val="0"/>
    <w:rPr>
      <w:rFonts w:eastAsia="楷体_GB2312" w:asciiTheme="majorHAnsi" w:hAnsiTheme="majorHAnsi" w:cstheme="majorBidi"/>
      <w:bCs/>
      <w:kern w:val="2"/>
      <w:sz w:val="32"/>
      <w:szCs w:val="32"/>
    </w:rPr>
  </w:style>
  <w:style w:type="paragraph" w:customStyle="1" w:styleId="12">
    <w:name w:val="Revision"/>
    <w:hidden/>
    <w:unhideWhenUsed/>
    <w:qFormat/>
    <w:uiPriority w:val="99"/>
    <w:rPr>
      <w:rFonts w:ascii="Arial" w:hAnsi="Arial"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273</Words>
  <Characters>1559</Characters>
  <Lines>12</Lines>
  <Paragraphs>3</Paragraphs>
  <TotalTime>19</TotalTime>
  <ScaleCrop>false</ScaleCrop>
  <LinksUpToDate>false</LinksUpToDate>
  <CharactersWithSpaces>1829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2026-02-09T10:17:00Z</dcterms:created>
  <dc:creator>黄旭吉</dc:creator>
  <cp:lastModifiedBy>区工业和信息化局帐户</cp:lastModifiedBy>
  <dcterms:modified xsi:type="dcterms:W3CDTF">2026-08-20T17:09:24Z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5E22075F4524B5E2C843226A730632EA_43</vt:lpwstr>
  </property>
</Properties>
</file>