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3A3AD">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firstLineChars="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color w:val="000000"/>
          <w:spacing w:val="0"/>
          <w:w w:val="100"/>
          <w:kern w:val="0"/>
          <w:position w:val="0"/>
          <w:sz w:val="32"/>
          <w:szCs w:val="32"/>
        </w:rPr>
        <w:t>附件2</w:t>
      </w:r>
    </w:p>
    <w:p w14:paraId="72776B9B">
      <w:pPr>
        <w:keepNext w:val="0"/>
        <w:keepLines w:val="0"/>
        <w:pageBreakBefore w:val="0"/>
        <w:widowControl w:val="0"/>
        <w:shd w:val="clear" w:color="auto" w:fill="auto"/>
        <w:kinsoku/>
        <w:wordWrap/>
        <w:overflowPunct/>
        <w:topLinePunct w:val="0"/>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z w:val="44"/>
          <w:szCs w:val="44"/>
          <w:highlight w:val="none"/>
        </w:rPr>
      </w:pPr>
      <w:bookmarkStart w:id="0" w:name="bookmark40"/>
      <w:bookmarkStart w:id="1" w:name="bookmark42"/>
      <w:bookmarkStart w:id="2" w:name="bookmark41"/>
    </w:p>
    <w:p w14:paraId="02D6490F">
      <w:pPr>
        <w:keepNext w:val="0"/>
        <w:keepLines w:val="0"/>
        <w:pageBreakBefore w:val="0"/>
        <w:widowControl w:val="0"/>
        <w:shd w:val="clear" w:color="auto" w:fill="auto"/>
        <w:kinsoku/>
        <w:wordWrap/>
        <w:overflowPunct/>
        <w:topLinePunct w:val="0"/>
        <w:autoSpaceDN/>
        <w:bidi w:val="0"/>
        <w:adjustRightInd/>
        <w:snapToGrid/>
        <w:spacing w:line="560" w:lineRule="exact"/>
        <w:ind w:firstLine="0" w:firstLineChars="0"/>
        <w:jc w:val="center"/>
        <w:textAlignment w:val="auto"/>
        <w:outlineLvl w:val="0"/>
        <w:rPr>
          <w:rFonts w:hint="default" w:ascii="方正小标宋简体" w:hAnsi="方正小标宋简体" w:eastAsia="方正小标宋简体" w:cs="方正小标宋简体"/>
          <w:kern w:val="2"/>
          <w:sz w:val="44"/>
          <w:szCs w:val="44"/>
          <w:highlight w:val="none"/>
          <w:lang w:val="en-US" w:eastAsia="zh-CN" w:bidi="ar"/>
        </w:rPr>
      </w:pPr>
      <w:r>
        <w:rPr>
          <w:rFonts w:hint="default" w:ascii="方正小标宋简体" w:hAnsi="方正小标宋简体" w:eastAsia="方正小标宋简体" w:cs="方正小标宋简体"/>
          <w:kern w:val="2"/>
          <w:sz w:val="44"/>
          <w:szCs w:val="44"/>
          <w:highlight w:val="none"/>
          <w:lang w:val="en-US" w:eastAsia="zh-CN" w:bidi="ar"/>
        </w:rPr>
        <w:t>南山区促进鸿蒙产业发展专项扶持措施</w:t>
      </w:r>
    </w:p>
    <w:p w14:paraId="726EAB08">
      <w:pPr>
        <w:keepNext w:val="0"/>
        <w:keepLines w:val="0"/>
        <w:pageBreakBefore w:val="0"/>
        <w:widowControl w:val="0"/>
        <w:shd w:val="clear" w:color="auto" w:fill="auto"/>
        <w:kinsoku/>
        <w:wordWrap/>
        <w:overflowPunct/>
        <w:topLinePunct w:val="0"/>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kern w:val="2"/>
          <w:sz w:val="44"/>
          <w:szCs w:val="44"/>
          <w:highlight w:val="none"/>
          <w:lang w:val="en-US" w:eastAsia="zh-CN" w:bidi="ar"/>
        </w:rPr>
      </w:pPr>
      <w:r>
        <w:rPr>
          <w:rFonts w:hint="default" w:ascii="方正小标宋简体" w:hAnsi="方正小标宋简体" w:eastAsia="方正小标宋简体" w:cs="方正小标宋简体"/>
          <w:kern w:val="2"/>
          <w:sz w:val="44"/>
          <w:szCs w:val="44"/>
          <w:highlight w:val="none"/>
          <w:lang w:val="en-US" w:eastAsia="zh-CN" w:bidi="ar"/>
        </w:rPr>
        <w:t>（征求意见稿）</w:t>
      </w:r>
      <w:r>
        <w:rPr>
          <w:rFonts w:hint="eastAsia" w:ascii="方正小标宋简体" w:hAnsi="方正小标宋简体" w:eastAsia="方正小标宋简体" w:cs="方正小标宋简体"/>
          <w:kern w:val="2"/>
          <w:sz w:val="44"/>
          <w:szCs w:val="44"/>
          <w:highlight w:val="none"/>
          <w:lang w:val="en-US" w:eastAsia="zh-CN" w:bidi="ar"/>
        </w:rPr>
        <w:t>起草说明</w:t>
      </w:r>
      <w:bookmarkEnd w:id="0"/>
      <w:bookmarkEnd w:id="1"/>
      <w:bookmarkEnd w:id="2"/>
    </w:p>
    <w:p w14:paraId="3B2E7FC0">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rPr>
      </w:pPr>
      <w:bookmarkStart w:id="3" w:name="bookmark43"/>
    </w:p>
    <w:p w14:paraId="1CE30685">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eastAsia="仿宋_GB2312"/>
          <w:lang w:eastAsia="zh-CN"/>
        </w:rPr>
      </w:pPr>
      <w:r>
        <w:rPr>
          <w:rFonts w:hint="default" w:ascii="仿宋_GB2312" w:hAnsi="Times New Roman" w:eastAsia="仿宋_GB2312" w:cs="Times New Roman"/>
          <w:kern w:val="2"/>
          <w:sz w:val="32"/>
          <w:szCs w:val="32"/>
          <w:highlight w:val="none"/>
          <w:lang w:val="en-US" w:eastAsia="zh-CN" w:bidi="ar"/>
        </w:rPr>
        <w:t>为</w:t>
      </w:r>
      <w:r>
        <w:rPr>
          <w:rFonts w:hint="eastAsia" w:ascii="仿宋_GB2312" w:hAnsi="Times New Roman" w:eastAsia="仿宋_GB2312" w:cs="Times New Roman"/>
          <w:kern w:val="2"/>
          <w:sz w:val="32"/>
          <w:szCs w:val="32"/>
          <w:highlight w:val="none"/>
          <w:lang w:val="en-US" w:eastAsia="zh" w:bidi="ar"/>
        </w:rPr>
        <w:t>贯彻落实国家、省、市关于构建先进完整鸿蒙产业生态的工作部署，</w:t>
      </w:r>
      <w:r>
        <w:rPr>
          <w:rFonts w:hint="default" w:ascii="仿宋_GB2312" w:hAnsi="Times New Roman" w:eastAsia="仿宋_GB2312" w:cs="Times New Roman"/>
          <w:kern w:val="2"/>
          <w:sz w:val="32"/>
          <w:szCs w:val="32"/>
          <w:highlight w:val="none"/>
          <w:lang w:val="en-US" w:eastAsia="zh-CN" w:bidi="ar"/>
        </w:rPr>
        <w:t>推动鸿蒙产业蓬勃发展，加快形成新质生产力，进一步提升南山区在鸿蒙生态发展中的竞争力与影响力，</w:t>
      </w:r>
      <w:r>
        <w:rPr>
          <w:rFonts w:hint="eastAsia" w:ascii="仿宋_GB2312" w:hAnsi="Times New Roman" w:cs="Times New Roman"/>
          <w:kern w:val="2"/>
          <w:sz w:val="32"/>
          <w:szCs w:val="32"/>
          <w:highlight w:val="none"/>
          <w:lang w:val="en-US" w:eastAsia="zh-CN" w:bidi="ar"/>
        </w:rPr>
        <w:t>我局起草了《南山区促进鸿蒙产业发展专项扶持措施（征求意见稿）》</w:t>
      </w:r>
      <w:r>
        <w:rPr>
          <w:rFonts w:hint="eastAsia" w:eastAsia="仿宋_GB2312"/>
          <w:lang w:eastAsia="zh-CN"/>
        </w:rPr>
        <w:t>（下称</w:t>
      </w:r>
      <w:r>
        <w:rPr>
          <w:rFonts w:hint="eastAsia"/>
          <w:lang w:eastAsia="zh-CN"/>
        </w:rPr>
        <w:t>《</w:t>
      </w:r>
      <w:r>
        <w:rPr>
          <w:rFonts w:hint="eastAsia" w:eastAsia="仿宋_GB2312"/>
          <w:lang w:eastAsia="zh-CN"/>
        </w:rPr>
        <w:t>扶持措施</w:t>
      </w:r>
      <w:r>
        <w:rPr>
          <w:rFonts w:hint="eastAsia"/>
          <w:lang w:eastAsia="zh-CN"/>
        </w:rPr>
        <w:t>》</w:t>
      </w:r>
      <w:r>
        <w:rPr>
          <w:rFonts w:hint="eastAsia" w:eastAsia="仿宋_GB2312"/>
          <w:lang w:eastAsia="zh-CN"/>
        </w:rPr>
        <w:t>）</w:t>
      </w:r>
      <w:r>
        <w:rPr>
          <w:rFonts w:hint="eastAsia"/>
        </w:rPr>
        <w:t>。</w:t>
      </w:r>
      <w:r>
        <w:rPr>
          <w:rFonts w:hint="eastAsia" w:eastAsia="仿宋_GB2312"/>
          <w:lang w:eastAsia="zh-CN"/>
        </w:rPr>
        <w:t>现将编制情况说明如下：</w:t>
      </w:r>
    </w:p>
    <w:p w14:paraId="063C7054">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黑体" w:hAnsi="黑体" w:eastAsia="黑体" w:cs="黑体"/>
          <w:b w:val="0"/>
          <w:bCs w:val="0"/>
          <w:kern w:val="0"/>
          <w:sz w:val="32"/>
          <w:szCs w:val="32"/>
        </w:rPr>
      </w:pPr>
      <w:r>
        <w:rPr>
          <w:rFonts w:hint="eastAsia" w:ascii="黑体" w:hAnsi="黑体" w:eastAsia="黑体" w:cs="黑体"/>
          <w:b w:val="0"/>
          <w:bCs w:val="0"/>
          <w:color w:val="000000"/>
          <w:spacing w:val="0"/>
          <w:w w:val="100"/>
          <w:kern w:val="0"/>
          <w:position w:val="0"/>
          <w:sz w:val="32"/>
          <w:szCs w:val="32"/>
        </w:rPr>
        <w:t>一</w:t>
      </w:r>
      <w:bookmarkEnd w:id="3"/>
      <w:r>
        <w:rPr>
          <w:rFonts w:hint="eastAsia" w:ascii="黑体" w:hAnsi="黑体" w:eastAsia="黑体" w:cs="黑体"/>
          <w:b w:val="0"/>
          <w:bCs w:val="0"/>
          <w:color w:val="000000"/>
          <w:spacing w:val="0"/>
          <w:w w:val="100"/>
          <w:kern w:val="0"/>
          <w:position w:val="0"/>
          <w:sz w:val="32"/>
          <w:szCs w:val="32"/>
        </w:rPr>
        <w:t>、起草背景</w:t>
      </w:r>
    </w:p>
    <w:p w14:paraId="3F8BE2B0">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当前，全球信息技术产业正经历深刻变革，操作系统作</w:t>
      </w:r>
      <w:bookmarkStart w:id="4" w:name="_GoBack"/>
      <w:bookmarkEnd w:id="4"/>
      <w:r>
        <w:rPr>
          <w:rFonts w:hint="eastAsia" w:ascii="仿宋_GB2312" w:hAnsi="仿宋_GB2312" w:cs="仿宋_GB2312"/>
          <w:sz w:val="32"/>
          <w:szCs w:val="32"/>
          <w:highlight w:val="none"/>
          <w:lang w:val="en-US" w:eastAsia="zh-CN"/>
        </w:rPr>
        <w:t>为数字经济时代的“根技术”，其自主可控程度直接关系到国家信息安全和产业发展主动权。“十五五”规划建议将基础软件列为重点领域关键核心技术攻关方向之一。鸿蒙操作系统作为我国自主研发、全栈自研的国产操作系统代表，已从“能不能用”迈入“好不好用”的新阶段。截至2026年</w:t>
      </w:r>
      <w:r>
        <w:rPr>
          <w:rFonts w:hint="default" w:ascii="仿宋_GB2312" w:hAnsi="仿宋_GB2312" w:cs="仿宋_GB2312"/>
          <w:sz w:val="32"/>
          <w:szCs w:val="32"/>
          <w:highlight w:val="none"/>
          <w:lang w:val="en-US" w:eastAsia="zh-CN"/>
        </w:rPr>
        <w:t>6</w:t>
      </w:r>
      <w:r>
        <w:rPr>
          <w:rFonts w:hint="eastAsia" w:ascii="仿宋_GB2312" w:hAnsi="仿宋_GB2312" w:cs="仿宋_GB2312"/>
          <w:sz w:val="32"/>
          <w:szCs w:val="32"/>
          <w:highlight w:val="none"/>
          <w:lang w:val="en-US" w:eastAsia="zh-CN"/>
        </w:rPr>
        <w:t>月，鸿蒙6终端设备突破6600万，开源鸿蒙生态设备超过13亿台，注册开发者超过1100万，应用市场可获取应用和元服务超过40万。鸿蒙已成为继iOS、安卓之后全球重要的操作系统之一，是中国在基础软件领域实现从“跟跑”到“并跑”乃至“领跑”跨越的关键力量。</w:t>
      </w:r>
    </w:p>
    <w:p w14:paraId="7D1C6340">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鸿蒙生态的繁荣，离不开产业链上下游的广泛参与和深度协同。目前，鸿蒙已实现从芯片、操作系统到终端应用的全链条布局，并在政务、金融、能源、制造等关键基础设施领域加速渗透。然而，相较于成熟的iOS和安卓生态，鸿蒙产业生态仍处于规模化发展的关键阶段，在原生应用开发、行业解决方案适配、专业人才培养、产业集聚等方面仍有较大提升空间。因此，亟需通过专项政策的精准引导和资源投入，加快推动鸿蒙产业化与产业鸿蒙化的双向融合。</w:t>
      </w:r>
    </w:p>
    <w:p w14:paraId="7DDA00B4">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黑体" w:hAnsi="黑体" w:eastAsia="黑体" w:cs="黑体"/>
          <w:color w:val="000000"/>
          <w:spacing w:val="0"/>
          <w:w w:val="100"/>
          <w:kern w:val="0"/>
          <w:position w:val="0"/>
          <w:sz w:val="32"/>
          <w:szCs w:val="32"/>
          <w:lang w:eastAsia="zh-CN"/>
        </w:rPr>
      </w:pPr>
      <w:r>
        <w:rPr>
          <w:rFonts w:hint="eastAsia" w:ascii="黑体" w:hAnsi="黑体" w:eastAsia="黑体" w:cs="黑体"/>
          <w:b w:val="0"/>
          <w:bCs w:val="0"/>
          <w:color w:val="000000"/>
          <w:spacing w:val="0"/>
          <w:w w:val="100"/>
          <w:kern w:val="0"/>
          <w:position w:val="0"/>
          <w:sz w:val="32"/>
          <w:szCs w:val="32"/>
          <w:lang w:eastAsia="zh-CN"/>
        </w:rPr>
        <w:t>二</w:t>
      </w:r>
      <w:r>
        <w:rPr>
          <w:rFonts w:hint="eastAsia" w:ascii="黑体" w:hAnsi="黑体" w:eastAsia="黑体" w:cs="黑体"/>
          <w:color w:val="000000"/>
          <w:spacing w:val="0"/>
          <w:w w:val="100"/>
          <w:kern w:val="0"/>
          <w:position w:val="0"/>
          <w:sz w:val="32"/>
          <w:szCs w:val="32"/>
          <w:lang w:eastAsia="zh-CN"/>
        </w:rPr>
        <w:t>、起草过程</w:t>
      </w:r>
    </w:p>
    <w:p w14:paraId="7B3F5DC3">
      <w:pPr>
        <w:keepNext w:val="0"/>
        <w:keepLines w:val="0"/>
        <w:pageBreakBefore w:val="0"/>
        <w:widowControl w:val="0"/>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cs="仿宋_GB2312"/>
          <w:color w:val="000000"/>
          <w:kern w:val="0"/>
          <w:szCs w:val="32"/>
          <w:u w:val="none"/>
          <w:shd w:val="clear" w:color="auto" w:fill="auto"/>
          <w:lang w:val="zh-TW" w:bidi="zh-TW"/>
        </w:rPr>
      </w:pPr>
      <w:r>
        <w:rPr>
          <w:rFonts w:hint="eastAsia" w:ascii="仿宋_GB2312" w:hAnsi="仿宋_GB2312" w:eastAsia="仿宋_GB2312" w:cs="仿宋_GB2312"/>
          <w:color w:val="000000"/>
          <w:kern w:val="0"/>
          <w:sz w:val="32"/>
          <w:szCs w:val="32"/>
          <w:u w:val="none"/>
          <w:shd w:val="clear" w:color="auto" w:fill="auto"/>
          <w:lang w:val="zh-TW" w:eastAsia="zh-CN" w:bidi="zh-TW"/>
        </w:rPr>
        <w:t>根据区政府工作部署，区</w:t>
      </w:r>
      <w:r>
        <w:rPr>
          <w:rFonts w:hint="eastAsia" w:ascii="仿宋_GB2312" w:hAnsi="仿宋_GB2312" w:cs="仿宋_GB2312"/>
          <w:color w:val="000000"/>
          <w:kern w:val="0"/>
          <w:sz w:val="32"/>
          <w:szCs w:val="32"/>
          <w:u w:val="none"/>
          <w:shd w:val="clear" w:color="auto" w:fill="auto"/>
          <w:lang w:val="zh-TW" w:eastAsia="zh-CN" w:bidi="zh-TW"/>
        </w:rPr>
        <w:t>工信</w:t>
      </w:r>
      <w:r>
        <w:rPr>
          <w:rFonts w:hint="eastAsia" w:ascii="仿宋_GB2312" w:hAnsi="仿宋_GB2312" w:eastAsia="仿宋_GB2312" w:cs="仿宋_GB2312"/>
          <w:color w:val="000000"/>
          <w:kern w:val="0"/>
          <w:sz w:val="32"/>
          <w:szCs w:val="32"/>
          <w:u w:val="none"/>
          <w:shd w:val="clear" w:color="auto" w:fill="auto"/>
          <w:lang w:val="zh-TW" w:eastAsia="zh-CN" w:bidi="zh-TW"/>
        </w:rPr>
        <w:t>局对《</w:t>
      </w:r>
      <w:r>
        <w:rPr>
          <w:rFonts w:hint="eastAsia" w:ascii="仿宋_GB2312" w:hAnsi="仿宋_GB2312" w:cs="仿宋_GB2312"/>
          <w:color w:val="000000"/>
          <w:kern w:val="0"/>
          <w:sz w:val="32"/>
          <w:szCs w:val="32"/>
          <w:u w:val="none"/>
          <w:shd w:val="clear" w:color="auto" w:fill="auto"/>
          <w:lang w:val="zh-TW" w:eastAsia="zh-CN" w:bidi="zh-TW"/>
        </w:rPr>
        <w:t>扶持</w:t>
      </w:r>
      <w:r>
        <w:rPr>
          <w:rFonts w:hint="eastAsia" w:ascii="仿宋_GB2312" w:hAnsi="仿宋_GB2312" w:eastAsia="仿宋_GB2312" w:cs="仿宋_GB2312"/>
          <w:color w:val="000000"/>
          <w:kern w:val="0"/>
          <w:sz w:val="32"/>
          <w:szCs w:val="32"/>
          <w:u w:val="none"/>
          <w:shd w:val="clear" w:color="auto" w:fill="auto"/>
          <w:lang w:val="zh-TW" w:eastAsia="zh-CN" w:bidi="zh-TW"/>
        </w:rPr>
        <w:t>措施》启动了专题研究工作。一是全面梳理对比了其他地区政策，总结了现行政策中存在的不足。二是通过企业</w:t>
      </w:r>
      <w:r>
        <w:rPr>
          <w:rFonts w:hint="eastAsia" w:ascii="仿宋_GB2312" w:hAnsi="仿宋_GB2312" w:cs="仿宋_GB2312"/>
          <w:color w:val="000000"/>
          <w:kern w:val="0"/>
          <w:sz w:val="32"/>
          <w:szCs w:val="32"/>
          <w:u w:val="none"/>
          <w:shd w:val="clear" w:color="auto" w:fill="auto"/>
          <w:lang w:val="zh-TW" w:eastAsia="zh-CN" w:bidi="zh-TW"/>
        </w:rPr>
        <w:t>调研</w:t>
      </w:r>
      <w:r>
        <w:rPr>
          <w:rFonts w:hint="eastAsia" w:ascii="仿宋_GB2312" w:hAnsi="仿宋_GB2312" w:eastAsia="仿宋_GB2312" w:cs="仿宋_GB2312"/>
          <w:color w:val="000000"/>
          <w:kern w:val="0"/>
          <w:sz w:val="32"/>
          <w:szCs w:val="32"/>
          <w:u w:val="none"/>
          <w:shd w:val="clear" w:color="auto" w:fill="auto"/>
          <w:lang w:val="zh-TW" w:eastAsia="zh-CN" w:bidi="zh-TW"/>
        </w:rPr>
        <w:t>深入了解我区</w:t>
      </w:r>
      <w:r>
        <w:rPr>
          <w:rFonts w:hint="eastAsia" w:ascii="仿宋_GB2312" w:hAnsi="仿宋_GB2312" w:cs="仿宋_GB2312"/>
          <w:color w:val="000000"/>
          <w:kern w:val="0"/>
          <w:sz w:val="32"/>
          <w:szCs w:val="32"/>
          <w:u w:val="none"/>
          <w:shd w:val="clear" w:color="auto" w:fill="auto"/>
          <w:lang w:val="zh-TW" w:eastAsia="zh-CN" w:bidi="zh-TW"/>
        </w:rPr>
        <w:t>鸿蒙生态企业的</w:t>
      </w:r>
      <w:r>
        <w:rPr>
          <w:rFonts w:hint="eastAsia" w:ascii="仿宋_GB2312" w:hAnsi="仿宋_GB2312" w:eastAsia="仿宋_GB2312" w:cs="仿宋_GB2312"/>
          <w:color w:val="000000"/>
          <w:kern w:val="0"/>
          <w:sz w:val="32"/>
          <w:szCs w:val="32"/>
          <w:u w:val="none"/>
          <w:shd w:val="clear" w:color="auto" w:fill="auto"/>
          <w:lang w:val="zh-TW" w:eastAsia="zh-CN" w:bidi="zh-TW"/>
        </w:rPr>
        <w:t>迫切需求</w:t>
      </w:r>
      <w:r>
        <w:rPr>
          <w:rFonts w:hint="eastAsia" w:ascii="仿宋_GB2312" w:hAnsi="仿宋_GB2312" w:cs="仿宋_GB2312"/>
          <w:color w:val="000000"/>
          <w:kern w:val="0"/>
          <w:sz w:val="32"/>
          <w:szCs w:val="32"/>
          <w:u w:val="none"/>
          <w:shd w:val="clear" w:color="auto" w:fill="auto"/>
          <w:lang w:val="zh-TW" w:eastAsia="zh-CN" w:bidi="zh-TW"/>
        </w:rPr>
        <w:t>以</w:t>
      </w:r>
      <w:r>
        <w:rPr>
          <w:rFonts w:hint="eastAsia" w:ascii="仿宋_GB2312" w:hAnsi="仿宋_GB2312" w:eastAsia="仿宋_GB2312" w:cs="仿宋_GB2312"/>
          <w:color w:val="000000"/>
          <w:kern w:val="0"/>
          <w:sz w:val="32"/>
          <w:szCs w:val="32"/>
          <w:u w:val="none"/>
          <w:shd w:val="clear" w:color="auto" w:fill="auto"/>
          <w:lang w:val="zh-TW" w:eastAsia="zh-CN" w:bidi="zh-TW"/>
        </w:rPr>
        <w:t>及面临的主要问题。三是根据</w:t>
      </w:r>
      <w:r>
        <w:rPr>
          <w:rFonts w:hint="eastAsia" w:ascii="仿宋_GB2312" w:hAnsi="仿宋_GB2312" w:cs="仿宋_GB2312"/>
          <w:color w:val="000000"/>
          <w:kern w:val="0"/>
          <w:sz w:val="32"/>
          <w:szCs w:val="32"/>
          <w:u w:val="none"/>
          <w:shd w:val="clear" w:color="auto" w:fill="auto"/>
          <w:lang w:val="zh-TW" w:eastAsia="zh-CN" w:bidi="zh-TW"/>
        </w:rPr>
        <w:t>南山</w:t>
      </w:r>
      <w:r>
        <w:rPr>
          <w:rFonts w:hint="eastAsia" w:ascii="仿宋_GB2312" w:hAnsi="仿宋_GB2312" w:eastAsia="仿宋_GB2312" w:cs="仿宋_GB2312"/>
          <w:color w:val="000000"/>
          <w:kern w:val="0"/>
          <w:sz w:val="32"/>
          <w:szCs w:val="32"/>
          <w:u w:val="none"/>
          <w:shd w:val="clear" w:color="auto" w:fill="auto"/>
          <w:lang w:val="zh-TW" w:eastAsia="zh-CN" w:bidi="zh-TW"/>
        </w:rPr>
        <w:t>区的实际情况，系统梳理了产业发展需要重点支持的环节，为《</w:t>
      </w:r>
      <w:r>
        <w:rPr>
          <w:rFonts w:hint="eastAsia" w:ascii="仿宋_GB2312" w:hAnsi="仿宋_GB2312" w:cs="仿宋_GB2312"/>
          <w:color w:val="000000"/>
          <w:kern w:val="0"/>
          <w:sz w:val="32"/>
          <w:szCs w:val="32"/>
          <w:u w:val="none"/>
          <w:shd w:val="clear" w:color="auto" w:fill="auto"/>
          <w:lang w:val="zh-TW" w:eastAsia="zh-CN" w:bidi="zh-TW"/>
        </w:rPr>
        <w:t>扶持</w:t>
      </w:r>
      <w:r>
        <w:rPr>
          <w:rFonts w:hint="eastAsia" w:ascii="仿宋_GB2312" w:hAnsi="仿宋_GB2312" w:eastAsia="仿宋_GB2312" w:cs="仿宋_GB2312"/>
          <w:color w:val="000000"/>
          <w:kern w:val="0"/>
          <w:sz w:val="32"/>
          <w:szCs w:val="32"/>
          <w:u w:val="none"/>
          <w:shd w:val="clear" w:color="auto" w:fill="auto"/>
          <w:lang w:val="zh-TW" w:eastAsia="zh-CN" w:bidi="zh-TW"/>
        </w:rPr>
        <w:t>措施》编制提供了依据。在此基础上，区</w:t>
      </w:r>
      <w:r>
        <w:rPr>
          <w:rFonts w:hint="eastAsia" w:ascii="仿宋_GB2312" w:hAnsi="仿宋_GB2312" w:cs="仿宋_GB2312"/>
          <w:color w:val="000000"/>
          <w:kern w:val="0"/>
          <w:sz w:val="32"/>
          <w:szCs w:val="32"/>
          <w:u w:val="none"/>
          <w:shd w:val="clear" w:color="auto" w:fill="auto"/>
          <w:lang w:val="zh-TW" w:eastAsia="zh-CN" w:bidi="zh-TW"/>
        </w:rPr>
        <w:t>工信局</w:t>
      </w:r>
      <w:r>
        <w:rPr>
          <w:rFonts w:hint="eastAsia" w:ascii="仿宋_GB2312" w:hAnsi="仿宋_GB2312" w:eastAsia="仿宋_GB2312" w:cs="仿宋_GB2312"/>
          <w:color w:val="000000"/>
          <w:kern w:val="0"/>
          <w:sz w:val="32"/>
          <w:szCs w:val="32"/>
          <w:u w:val="none"/>
          <w:shd w:val="clear" w:color="auto" w:fill="auto"/>
          <w:lang w:val="zh-TW" w:eastAsia="zh-CN" w:bidi="zh-TW"/>
        </w:rPr>
        <w:t>起草形成了《</w:t>
      </w:r>
      <w:r>
        <w:rPr>
          <w:rFonts w:hint="eastAsia" w:ascii="仿宋_GB2312" w:hAnsi="仿宋_GB2312" w:cs="仿宋_GB2312"/>
          <w:color w:val="000000"/>
          <w:kern w:val="0"/>
          <w:sz w:val="32"/>
          <w:szCs w:val="32"/>
          <w:u w:val="none"/>
          <w:shd w:val="clear" w:color="auto" w:fill="auto"/>
          <w:lang w:val="zh-TW" w:eastAsia="zh-CN" w:bidi="zh-TW"/>
        </w:rPr>
        <w:t>扶持</w:t>
      </w:r>
      <w:r>
        <w:rPr>
          <w:rFonts w:hint="eastAsia" w:ascii="仿宋_GB2312" w:hAnsi="仿宋_GB2312" w:eastAsia="仿宋_GB2312" w:cs="仿宋_GB2312"/>
          <w:color w:val="000000"/>
          <w:kern w:val="0"/>
          <w:sz w:val="32"/>
          <w:szCs w:val="32"/>
          <w:u w:val="none"/>
          <w:shd w:val="clear" w:color="auto" w:fill="auto"/>
          <w:lang w:val="zh-TW" w:eastAsia="zh-CN" w:bidi="zh-TW"/>
        </w:rPr>
        <w:t>措施》初稿。</w:t>
      </w:r>
    </w:p>
    <w:p w14:paraId="585B85C0">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黑体" w:hAnsi="黑体" w:eastAsia="黑体" w:cs="黑体"/>
          <w:b w:val="0"/>
          <w:bCs w:val="0"/>
          <w:kern w:val="0"/>
          <w:sz w:val="32"/>
          <w:szCs w:val="32"/>
        </w:rPr>
      </w:pPr>
      <w:r>
        <w:rPr>
          <w:rFonts w:hint="eastAsia" w:ascii="黑体" w:hAnsi="黑体" w:eastAsia="黑体" w:cs="黑体"/>
          <w:b w:val="0"/>
          <w:bCs w:val="0"/>
          <w:color w:val="000000"/>
          <w:spacing w:val="0"/>
          <w:w w:val="100"/>
          <w:kern w:val="0"/>
          <w:position w:val="0"/>
          <w:sz w:val="32"/>
          <w:szCs w:val="32"/>
          <w:lang w:val="en-US" w:eastAsia="zh-CN"/>
        </w:rPr>
        <w:t>三</w:t>
      </w:r>
      <w:r>
        <w:rPr>
          <w:rFonts w:hint="eastAsia" w:ascii="黑体" w:hAnsi="黑体" w:eastAsia="黑体" w:cs="黑体"/>
          <w:b w:val="0"/>
          <w:bCs w:val="0"/>
          <w:color w:val="000000"/>
          <w:spacing w:val="0"/>
          <w:w w:val="100"/>
          <w:kern w:val="0"/>
          <w:position w:val="0"/>
          <w:sz w:val="32"/>
          <w:szCs w:val="32"/>
        </w:rPr>
        <w:t>、主要内容</w:t>
      </w:r>
    </w:p>
    <w:p w14:paraId="20C9E101">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_GB2312" w:eastAsia="仿宋_GB2312" w:cs="仿宋_GB2312"/>
          <w:color w:val="000000"/>
          <w:spacing w:val="0"/>
          <w:w w:val="100"/>
          <w:kern w:val="0"/>
          <w:position w:val="0"/>
          <w:sz w:val="32"/>
          <w:szCs w:val="32"/>
          <w:lang w:val="en-US" w:eastAsia="zh-CN" w:bidi="en-US"/>
        </w:rPr>
      </w:pPr>
      <w:r>
        <w:rPr>
          <w:rFonts w:hint="eastAsia" w:ascii="仿宋_GB2312" w:hAnsi="仿宋_GB2312" w:eastAsia="仿宋_GB2312" w:cs="仿宋_GB2312"/>
          <w:color w:val="000000"/>
          <w:spacing w:val="0"/>
          <w:w w:val="100"/>
          <w:kern w:val="0"/>
          <w:position w:val="0"/>
          <w:sz w:val="32"/>
          <w:szCs w:val="32"/>
          <w:lang w:val="en-US" w:eastAsia="zh-CN" w:bidi="en-US"/>
        </w:rPr>
        <w:t>《扶持措施》共分为三章，包括总则、支持鸿蒙产业发展、附则，主要内容如下：</w:t>
      </w:r>
    </w:p>
    <w:p w14:paraId="1220423A">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color w:val="000000"/>
          <w:spacing w:val="0"/>
          <w:w w:val="100"/>
          <w:kern w:val="0"/>
          <w:position w:val="0"/>
          <w:sz w:val="32"/>
          <w:szCs w:val="32"/>
          <w:lang w:val="en-US" w:eastAsia="zh-CN" w:bidi="en-US"/>
        </w:rPr>
      </w:pPr>
      <w:r>
        <w:rPr>
          <w:rFonts w:hint="eastAsia" w:ascii="仿宋_GB2312" w:hAnsi="仿宋_GB2312" w:eastAsia="仿宋_GB2312" w:cs="仿宋_GB2312"/>
          <w:b/>
          <w:bCs/>
          <w:color w:val="000000"/>
          <w:spacing w:val="0"/>
          <w:w w:val="100"/>
          <w:kern w:val="0"/>
          <w:position w:val="0"/>
          <w:sz w:val="32"/>
          <w:szCs w:val="32"/>
          <w:lang w:val="en-US" w:eastAsia="zh-CN" w:bidi="en-US"/>
        </w:rPr>
        <w:t>第一章：总则。</w:t>
      </w:r>
      <w:r>
        <w:rPr>
          <w:rFonts w:hint="eastAsia" w:ascii="仿宋_GB2312" w:hAnsi="仿宋_GB2312" w:eastAsia="仿宋_GB2312" w:cs="仿宋_GB2312"/>
          <w:color w:val="000000"/>
          <w:spacing w:val="0"/>
          <w:w w:val="100"/>
          <w:kern w:val="0"/>
          <w:position w:val="0"/>
          <w:sz w:val="32"/>
          <w:szCs w:val="32"/>
          <w:lang w:val="en-US" w:eastAsia="zh-CN" w:bidi="en-US"/>
        </w:rPr>
        <w:t>阐述本措施的制定背景、依据及资金管理要求。</w:t>
      </w:r>
    </w:p>
    <w:p w14:paraId="32F0AFD5">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_GB2312" w:hAnsi="仿宋_GB2312" w:eastAsia="仿宋_GB2312" w:cs="仿宋_GB2312"/>
          <w:color w:val="000000"/>
          <w:spacing w:val="0"/>
          <w:w w:val="100"/>
          <w:kern w:val="0"/>
          <w:position w:val="0"/>
          <w:sz w:val="32"/>
          <w:szCs w:val="32"/>
          <w:lang w:val="en-US" w:eastAsia="zh-CN" w:bidi="en-US"/>
        </w:rPr>
      </w:pPr>
      <w:r>
        <w:rPr>
          <w:rFonts w:hint="eastAsia" w:ascii="仿宋_GB2312" w:hAnsi="仿宋_GB2312" w:eastAsia="仿宋_GB2312" w:cs="仿宋_GB2312"/>
          <w:b/>
          <w:bCs/>
          <w:color w:val="000000"/>
          <w:spacing w:val="0"/>
          <w:w w:val="100"/>
          <w:kern w:val="0"/>
          <w:position w:val="0"/>
          <w:sz w:val="32"/>
          <w:szCs w:val="32"/>
          <w:lang w:val="en-US" w:eastAsia="zh-CN" w:bidi="en-US"/>
        </w:rPr>
        <w:t>第二章：支持鸿蒙产业发展。</w:t>
      </w:r>
      <w:r>
        <w:rPr>
          <w:rFonts w:hint="eastAsia" w:ascii="仿宋_GB2312" w:hAnsi="仿宋_GB2312" w:eastAsia="仿宋_GB2312" w:cs="仿宋_GB2312"/>
          <w:color w:val="000000"/>
          <w:spacing w:val="0"/>
          <w:w w:val="100"/>
          <w:kern w:val="0"/>
          <w:position w:val="0"/>
          <w:sz w:val="32"/>
          <w:szCs w:val="32"/>
          <w:lang w:val="en-US" w:eastAsia="zh-CN" w:bidi="en-US"/>
        </w:rPr>
        <w:t>鼓励推出鸿蒙硬件产品、鼓励开发鸿蒙软件、鸿蒙化转型服务支持、鸿蒙应用场景揭榜挂帅、鸿蒙企业稳定经营支持、鼓励鸿蒙人才提升专业技能、鸿蒙公共服务平台建设支持、鸿蒙产业标准支持等八个方面。</w:t>
      </w:r>
    </w:p>
    <w:p w14:paraId="2B34428B">
      <w:pPr>
        <w:spacing w:line="560" w:lineRule="exact"/>
        <w:ind w:firstLine="640" w:firstLineChars="200"/>
        <w:outlineLvl w:val="0"/>
        <w:rPr>
          <w:rFonts w:hint="eastAsia" w:ascii="仿宋_GB2312" w:eastAsia="仿宋_GB2312" w:cs="仿宋_GB2312"/>
          <w:bCs w:val="0"/>
          <w:sz w:val="32"/>
          <w:szCs w:val="32"/>
          <w:lang w:bidi="ar-SA"/>
        </w:rPr>
      </w:pPr>
      <w:r>
        <w:rPr>
          <w:rFonts w:hint="eastAsia" w:ascii="楷体_GB2312" w:eastAsia="楷体_GB2312" w:cs="楷体_GB2312"/>
          <w:sz w:val="32"/>
          <w:szCs w:val="32"/>
          <w:lang w:eastAsia="zh-CN" w:bidi="ar"/>
        </w:rPr>
        <w:t>（一）</w:t>
      </w:r>
      <w:r>
        <w:rPr>
          <w:rFonts w:ascii="楷体_GB2312" w:eastAsia="楷体_GB2312" w:cs="楷体_GB2312"/>
          <w:sz w:val="32"/>
          <w:szCs w:val="32"/>
          <w:lang w:bidi="ar"/>
        </w:rPr>
        <w:t>鼓励</w:t>
      </w:r>
      <w:r>
        <w:rPr>
          <w:rFonts w:hint="eastAsia" w:ascii="楷体_GB2312" w:eastAsia="楷体_GB2312" w:cs="楷体_GB2312"/>
          <w:sz w:val="32"/>
          <w:szCs w:val="32"/>
          <w:lang w:bidi="ar"/>
        </w:rPr>
        <w:t>推出</w:t>
      </w:r>
      <w:r>
        <w:rPr>
          <w:rFonts w:ascii="楷体_GB2312" w:eastAsia="楷体_GB2312" w:cs="楷体_GB2312"/>
          <w:sz w:val="32"/>
          <w:szCs w:val="32"/>
          <w:lang w:bidi="ar"/>
        </w:rPr>
        <w:t>鸿蒙硬件产品</w:t>
      </w:r>
      <w:r>
        <w:rPr>
          <w:rFonts w:hint="eastAsia" w:ascii="楷体_GB2312" w:eastAsia="楷体_GB2312" w:cs="楷体_GB2312"/>
          <w:sz w:val="32"/>
          <w:szCs w:val="32"/>
          <w:lang w:eastAsia="zh-CN" w:bidi="ar"/>
        </w:rPr>
        <w:t>。</w:t>
      </w:r>
      <w:r>
        <w:rPr>
          <w:rFonts w:hint="eastAsia" w:ascii="仿宋_GB2312" w:hAnsi="Calibri" w:eastAsia="仿宋_GB2312" w:cs="仿宋_GB2312"/>
          <w:sz w:val="32"/>
          <w:szCs w:val="32"/>
          <w:lang w:bidi="ar"/>
        </w:rPr>
        <w:t>支持芯片、终端厂商适配鸿蒙系统，对鸿蒙芯片企业按照认证产品数量及通过测评产品的操作系统类型给予最高500万元奖励；对模组/开发板、终端产品通过鸿蒙相关测试认证的，按照鸿蒙终端产品销售数量、通过测评的操作系统类型</w:t>
      </w:r>
      <w:r>
        <w:rPr>
          <w:rFonts w:hint="eastAsia" w:ascii="仿宋_GB2312" w:hAnsi="Calibri" w:eastAsia="仿宋_GB2312" w:cs="仿宋_GB2312"/>
          <w:sz w:val="32"/>
          <w:szCs w:val="32"/>
          <w:lang w:eastAsia="zh-CN" w:bidi="ar"/>
        </w:rPr>
        <w:t>等条件</w:t>
      </w:r>
      <w:r>
        <w:rPr>
          <w:rFonts w:hint="eastAsia" w:ascii="仿宋_GB2312" w:hAnsi="Calibri" w:eastAsia="仿宋_GB2312" w:cs="仿宋_GB2312"/>
          <w:sz w:val="32"/>
          <w:szCs w:val="32"/>
          <w:lang w:bidi="ar"/>
        </w:rPr>
        <w:t>分档，给予最高5000万元奖励。</w:t>
      </w:r>
    </w:p>
    <w:p w14:paraId="5F42B967">
      <w:pPr>
        <w:spacing w:line="560" w:lineRule="exact"/>
        <w:ind w:firstLine="640" w:firstLineChars="200"/>
        <w:outlineLvl w:val="0"/>
        <w:rPr>
          <w:rFonts w:hint="eastAsia" w:ascii="仿宋_GB2312" w:hAnsi="Calibri Light" w:eastAsia="仿宋_GB2312"/>
          <w:bCs/>
          <w:sz w:val="32"/>
          <w:szCs w:val="32"/>
        </w:rPr>
      </w:pPr>
      <w:r>
        <w:rPr>
          <w:rFonts w:hint="eastAsia" w:ascii="楷体_GB2312" w:eastAsia="楷体_GB2312" w:cs="楷体_GB2312"/>
          <w:bCs/>
          <w:sz w:val="32"/>
          <w:szCs w:val="32"/>
          <w:lang w:eastAsia="zh-CN" w:bidi="ar"/>
        </w:rPr>
        <w:t>（二）</w:t>
      </w:r>
      <w:r>
        <w:rPr>
          <w:rFonts w:ascii="楷体_GB2312" w:eastAsia="楷体_GB2312" w:cs="楷体_GB2312"/>
          <w:bCs/>
          <w:sz w:val="32"/>
          <w:szCs w:val="32"/>
          <w:lang w:bidi="ar"/>
        </w:rPr>
        <w:t>鼓励开发鸿蒙</w:t>
      </w:r>
      <w:r>
        <w:rPr>
          <w:rFonts w:hint="eastAsia" w:ascii="楷体_GB2312" w:eastAsia="楷体_GB2312" w:cs="楷体_GB2312"/>
          <w:bCs/>
          <w:sz w:val="32"/>
          <w:szCs w:val="32"/>
          <w:lang w:bidi="ar"/>
        </w:rPr>
        <w:t>软件</w:t>
      </w:r>
      <w:r>
        <w:rPr>
          <w:rFonts w:hint="eastAsia" w:ascii="楷体_GB2312" w:eastAsia="楷体_GB2312" w:cs="楷体_GB2312"/>
          <w:bCs/>
          <w:sz w:val="32"/>
          <w:szCs w:val="32"/>
          <w:lang w:eastAsia="zh-CN" w:bidi="ar"/>
        </w:rPr>
        <w:t>。</w:t>
      </w:r>
      <w:r>
        <w:rPr>
          <w:rFonts w:ascii="仿宋_GB2312" w:eastAsia="仿宋_GB2312" w:cs="仿宋_GB2312"/>
          <w:sz w:val="32"/>
          <w:szCs w:val="32"/>
          <w:lang w:bidi="ar"/>
        </w:rPr>
        <w:t>鼓励企业开发鸿蒙原生应用及商业发行版，对鸿蒙原生应用在HarmonyOS 5.0及更高版本的应用商城月活量达到一定数量的</w:t>
      </w:r>
      <w:r>
        <w:rPr>
          <w:rFonts w:hint="eastAsia" w:ascii="仿宋_GB2312" w:eastAsia="仿宋_GB2312" w:cs="仿宋_GB2312"/>
          <w:sz w:val="32"/>
          <w:szCs w:val="32"/>
          <w:lang w:eastAsia="zh-CN" w:bidi="ar"/>
        </w:rPr>
        <w:t>企业，</w:t>
      </w:r>
      <w:r>
        <w:rPr>
          <w:rFonts w:ascii="仿宋_GB2312" w:eastAsia="仿宋_GB2312" w:cs="仿宋_GB2312"/>
          <w:sz w:val="32"/>
          <w:szCs w:val="32"/>
          <w:lang w:bidi="ar"/>
        </w:rPr>
        <w:t>按照</w:t>
      </w:r>
      <w:r>
        <w:rPr>
          <w:rFonts w:hint="eastAsia" w:ascii="仿宋_GB2312" w:eastAsia="仿宋_GB2312" w:cs="仿宋_GB2312"/>
          <w:sz w:val="32"/>
          <w:szCs w:val="32"/>
          <w:lang w:eastAsia="zh-CN" w:bidi="ar"/>
        </w:rPr>
        <w:t>月活量等条件</w:t>
      </w:r>
      <w:r>
        <w:rPr>
          <w:rFonts w:ascii="仿宋_GB2312" w:eastAsia="仿宋_GB2312" w:cs="仿宋_GB2312"/>
          <w:sz w:val="32"/>
          <w:szCs w:val="32"/>
          <w:lang w:bidi="ar"/>
        </w:rPr>
        <w:t>分档</w:t>
      </w:r>
      <w:r>
        <w:rPr>
          <w:rFonts w:hint="eastAsia" w:ascii="仿宋_GB2312" w:eastAsia="仿宋_GB2312" w:cs="仿宋_GB2312"/>
          <w:sz w:val="32"/>
          <w:szCs w:val="32"/>
          <w:lang w:eastAsia="zh-CN" w:bidi="ar"/>
        </w:rPr>
        <w:t>给予最高</w:t>
      </w:r>
      <w:r>
        <w:rPr>
          <w:rFonts w:hint="eastAsia" w:ascii="仿宋_GB2312" w:eastAsia="仿宋_GB2312" w:cs="仿宋_GB2312"/>
          <w:sz w:val="32"/>
          <w:szCs w:val="32"/>
          <w:lang w:val="en-US" w:eastAsia="zh-CN" w:bidi="ar"/>
        </w:rPr>
        <w:t>200万元奖励；</w:t>
      </w:r>
      <w:r>
        <w:rPr>
          <w:rFonts w:hint="eastAsia" w:ascii="仿宋_GB2312" w:eastAsia="仿宋_GB2312" w:cs="仿宋_GB2312"/>
          <w:sz w:val="32"/>
          <w:szCs w:val="32"/>
          <w:lang w:eastAsia="zh-CN" w:bidi="ar"/>
        </w:rPr>
        <w:t>对</w:t>
      </w:r>
      <w:r>
        <w:rPr>
          <w:rFonts w:ascii="仿宋_GB2312" w:eastAsia="仿宋_GB2312" w:cs="仿宋_GB2312"/>
          <w:sz w:val="32"/>
          <w:szCs w:val="32"/>
          <w:lang w:bidi="ar"/>
        </w:rPr>
        <w:t>商业发行版获XTS认证且有实际使用的</w:t>
      </w:r>
      <w:r>
        <w:rPr>
          <w:rFonts w:hint="eastAsia" w:ascii="仿宋_GB2312" w:eastAsia="仿宋_GB2312" w:cs="仿宋_GB2312"/>
          <w:sz w:val="32"/>
          <w:szCs w:val="32"/>
          <w:lang w:eastAsia="zh-CN" w:bidi="ar"/>
        </w:rPr>
        <w:t>企业</w:t>
      </w:r>
      <w:r>
        <w:rPr>
          <w:rFonts w:ascii="仿宋_GB2312" w:eastAsia="仿宋_GB2312" w:cs="仿宋_GB2312"/>
          <w:sz w:val="32"/>
          <w:szCs w:val="32"/>
          <w:lang w:bidi="ar"/>
        </w:rPr>
        <w:t>，</w:t>
      </w:r>
      <w:r>
        <w:rPr>
          <w:rFonts w:hint="eastAsia" w:ascii="仿宋_GB2312" w:eastAsia="仿宋_GB2312" w:cs="仿宋_GB2312"/>
          <w:sz w:val="32"/>
          <w:szCs w:val="32"/>
          <w:lang w:eastAsia="zh-CN" w:bidi="ar"/>
        </w:rPr>
        <w:t>按操作系统类型</w:t>
      </w:r>
      <w:r>
        <w:rPr>
          <w:rFonts w:ascii="仿宋_GB2312" w:eastAsia="仿宋_GB2312" w:cs="仿宋_GB2312"/>
          <w:sz w:val="32"/>
          <w:szCs w:val="32"/>
          <w:lang w:bidi="ar"/>
        </w:rPr>
        <w:t>给予最高不超过200万元奖励。</w:t>
      </w:r>
    </w:p>
    <w:p w14:paraId="3BA9A66E">
      <w:pPr>
        <w:autoSpaceDE w:val="0"/>
        <w:spacing w:line="560" w:lineRule="exact"/>
        <w:ind w:firstLine="640" w:firstLineChars="200"/>
        <w:outlineLvl w:val="0"/>
        <w:rPr>
          <w:rFonts w:ascii="仿宋_GB2312" w:hAnsi="Calibri" w:eastAsia="仿宋_GB2312" w:cs="仿宋_GB2312"/>
          <w:bCs/>
          <w:sz w:val="32"/>
          <w:szCs w:val="32"/>
          <w:lang w:bidi="ar"/>
        </w:rPr>
      </w:pPr>
      <w:r>
        <w:rPr>
          <w:rFonts w:hint="eastAsia" w:ascii="楷体_GB2312" w:eastAsia="楷体_GB2312" w:cs="楷体_GB2312"/>
          <w:sz w:val="32"/>
          <w:szCs w:val="32"/>
          <w:lang w:eastAsia="zh-CN" w:bidi="ar"/>
        </w:rPr>
        <w:t>（三）</w:t>
      </w:r>
      <w:r>
        <w:rPr>
          <w:rFonts w:ascii="楷体_GB2312" w:eastAsia="楷体_GB2312" w:cs="楷体_GB2312"/>
          <w:sz w:val="32"/>
          <w:szCs w:val="32"/>
          <w:lang w:bidi="ar"/>
        </w:rPr>
        <w:t>鸿蒙</w:t>
      </w:r>
      <w:r>
        <w:rPr>
          <w:rFonts w:hint="eastAsia" w:ascii="楷体_GB2312" w:eastAsia="楷体_GB2312" w:cs="楷体_GB2312"/>
          <w:sz w:val="32"/>
          <w:szCs w:val="32"/>
          <w:lang w:eastAsia="zh-CN" w:bidi="ar"/>
        </w:rPr>
        <w:t>化转型</w:t>
      </w:r>
      <w:r>
        <w:rPr>
          <w:rFonts w:ascii="楷体_GB2312" w:eastAsia="楷体_GB2312" w:cs="楷体_GB2312"/>
          <w:sz w:val="32"/>
          <w:szCs w:val="32"/>
          <w:lang w:bidi="ar"/>
        </w:rPr>
        <w:t>服务</w:t>
      </w:r>
      <w:r>
        <w:rPr>
          <w:rFonts w:hint="eastAsia" w:ascii="楷体_GB2312" w:eastAsia="楷体_GB2312" w:cs="楷体_GB2312"/>
          <w:sz w:val="32"/>
          <w:szCs w:val="32"/>
          <w:lang w:eastAsia="zh-CN" w:bidi="ar"/>
        </w:rPr>
        <w:t>支持。</w:t>
      </w:r>
      <w:r>
        <w:rPr>
          <w:rFonts w:hint="eastAsia" w:ascii="仿宋_GB2312" w:hAnsi="Calibri" w:eastAsia="仿宋_GB2312" w:cs="仿宋_GB2312"/>
          <w:bCs/>
          <w:sz w:val="32"/>
          <w:szCs w:val="32"/>
          <w:lang w:bidi="ar"/>
        </w:rPr>
        <w:t>鼓励企业通过采购编译转换、性能调优、跨平台代码翻译、系统移植与测试认证等鸿蒙相关服务，加快鸿蒙化转型进度，对符合条件的企业提供不超过30万元</w:t>
      </w:r>
      <w:r>
        <w:rPr>
          <w:rFonts w:hint="eastAsia" w:ascii="仿宋_GB2312" w:hAnsi="Calibri" w:eastAsia="仿宋_GB2312" w:cs="仿宋_GB2312"/>
          <w:bCs/>
          <w:sz w:val="32"/>
          <w:szCs w:val="32"/>
          <w:lang w:eastAsia="zh-CN" w:bidi="ar"/>
        </w:rPr>
        <w:t>资助</w:t>
      </w:r>
      <w:r>
        <w:rPr>
          <w:rFonts w:hint="eastAsia" w:ascii="仿宋_GB2312" w:hAnsi="Calibri" w:eastAsia="仿宋_GB2312" w:cs="仿宋_GB2312"/>
          <w:bCs/>
          <w:sz w:val="32"/>
          <w:szCs w:val="32"/>
          <w:lang w:bidi="ar"/>
        </w:rPr>
        <w:t>。</w:t>
      </w:r>
    </w:p>
    <w:p w14:paraId="5E0FE2FE">
      <w:pPr>
        <w:spacing w:line="560" w:lineRule="exact"/>
        <w:ind w:firstLine="640" w:firstLineChars="200"/>
        <w:outlineLvl w:val="0"/>
        <w:rPr>
          <w:rFonts w:ascii="仿宋_GB2312" w:hAnsi="仿宋_GB2312" w:eastAsia="仿宋_GB2312" w:cs="仿宋_GB2312"/>
          <w:sz w:val="32"/>
          <w:szCs w:val="32"/>
        </w:rPr>
      </w:pPr>
      <w:r>
        <w:rPr>
          <w:rFonts w:hint="eastAsia" w:ascii="楷体_GB2312" w:eastAsia="楷体_GB2312" w:cs="楷体_GB2312"/>
          <w:sz w:val="32"/>
          <w:szCs w:val="32"/>
          <w:lang w:eastAsia="zh-CN" w:bidi="ar"/>
        </w:rPr>
        <w:t>（四）</w:t>
      </w:r>
      <w:r>
        <w:rPr>
          <w:rFonts w:ascii="楷体_GB2312" w:eastAsia="楷体_GB2312" w:cs="楷体_GB2312"/>
          <w:sz w:val="32"/>
          <w:szCs w:val="32"/>
          <w:lang w:bidi="ar"/>
        </w:rPr>
        <w:t>鸿蒙应用场景揭榜挂帅</w:t>
      </w:r>
      <w:r>
        <w:rPr>
          <w:rFonts w:hint="eastAsia" w:ascii="楷体_GB2312" w:eastAsia="楷体_GB2312" w:cs="楷体_GB2312"/>
          <w:sz w:val="32"/>
          <w:szCs w:val="32"/>
          <w:lang w:eastAsia="zh-CN" w:bidi="ar"/>
        </w:rPr>
        <w:t>。</w:t>
      </w:r>
      <w:r>
        <w:rPr>
          <w:rFonts w:hint="eastAsia" w:ascii="仿宋_GB2312" w:hAnsi="仿宋_GB2312" w:eastAsia="仿宋_GB2312" w:cs="仿宋_GB2312"/>
          <w:sz w:val="32"/>
          <w:szCs w:val="32"/>
        </w:rPr>
        <w:t>鼓励企事业单位及机构积极参与鸿蒙产业领域的应用场景建设，对应用需求方和能力提供方分别给予最高300万元、500万元资助。</w:t>
      </w:r>
    </w:p>
    <w:p w14:paraId="7BE15317">
      <w:pPr>
        <w:spacing w:line="560" w:lineRule="exact"/>
        <w:ind w:firstLine="640" w:firstLineChars="200"/>
        <w:outlineLvl w:val="0"/>
        <w:rPr>
          <w:rFonts w:hint="eastAsia" w:ascii="仿宋_GB2312" w:eastAsia="仿宋_GB2312" w:cs="仿宋_GB2312"/>
          <w:sz w:val="32"/>
          <w:szCs w:val="32"/>
        </w:rPr>
      </w:pPr>
      <w:r>
        <w:rPr>
          <w:rFonts w:hint="eastAsia" w:ascii="楷体_GB2312" w:eastAsia="楷体_GB2312" w:cs="楷体_GB2312"/>
          <w:sz w:val="32"/>
          <w:szCs w:val="32"/>
          <w:lang w:eastAsia="zh-CN" w:bidi="ar"/>
        </w:rPr>
        <w:t>（五）</w:t>
      </w:r>
      <w:r>
        <w:rPr>
          <w:rFonts w:ascii="楷体_GB2312" w:eastAsia="楷体_GB2312" w:cs="楷体_GB2312"/>
          <w:sz w:val="32"/>
          <w:szCs w:val="32"/>
          <w:lang w:bidi="ar"/>
        </w:rPr>
        <w:t>鸿蒙企业稳定经营支持</w:t>
      </w:r>
      <w:r>
        <w:rPr>
          <w:rFonts w:hint="eastAsia" w:ascii="楷体_GB2312" w:eastAsia="楷体_GB2312" w:cs="楷体_GB2312"/>
          <w:sz w:val="32"/>
          <w:szCs w:val="32"/>
          <w:lang w:eastAsia="zh-CN" w:bidi="ar"/>
        </w:rPr>
        <w:t>。</w:t>
      </w:r>
      <w:r>
        <w:rPr>
          <w:rFonts w:ascii="仿宋_GB2312" w:eastAsia="仿宋_GB2312" w:cs="仿宋_GB2312"/>
          <w:sz w:val="32"/>
          <w:szCs w:val="32"/>
          <w:lang w:bidi="ar"/>
        </w:rPr>
        <w:t>对符合条件的鸿蒙</w:t>
      </w:r>
      <w:r>
        <w:rPr>
          <w:rFonts w:hint="eastAsia" w:ascii="仿宋_GB2312" w:eastAsia="仿宋_GB2312" w:cs="仿宋_GB2312"/>
          <w:sz w:val="32"/>
          <w:szCs w:val="32"/>
          <w:lang w:eastAsia="zh-CN" w:bidi="ar"/>
        </w:rPr>
        <w:t>生产制造、发行版、原生应用等</w:t>
      </w:r>
      <w:r>
        <w:rPr>
          <w:rFonts w:ascii="仿宋_GB2312" w:eastAsia="仿宋_GB2312" w:cs="仿宋_GB2312"/>
          <w:sz w:val="32"/>
          <w:szCs w:val="32"/>
          <w:lang w:bidi="ar"/>
        </w:rPr>
        <w:t>企业，</w:t>
      </w:r>
      <w:r>
        <w:rPr>
          <w:rFonts w:hint="eastAsia" w:ascii="仿宋_GB2312" w:eastAsia="仿宋_GB2312" w:cs="仿宋_GB2312"/>
          <w:sz w:val="32"/>
          <w:szCs w:val="32"/>
          <w:lang w:eastAsia="zh-CN" w:bidi="ar"/>
        </w:rPr>
        <w:t>按照企业成长性等条件分档，</w:t>
      </w:r>
      <w:r>
        <w:rPr>
          <w:rFonts w:ascii="仿宋_GB2312" w:eastAsia="仿宋_GB2312" w:cs="仿宋_GB2312"/>
          <w:sz w:val="32"/>
          <w:szCs w:val="32"/>
          <w:lang w:bidi="ar"/>
        </w:rPr>
        <w:t>给予每年最高</w:t>
      </w:r>
      <w:r>
        <w:rPr>
          <w:rFonts w:hint="eastAsia" w:ascii="仿宋_GB2312" w:eastAsia="仿宋_GB2312" w:cs="仿宋_GB2312"/>
          <w:sz w:val="32"/>
          <w:szCs w:val="32"/>
          <w:lang w:bidi="ar"/>
        </w:rPr>
        <w:t>5</w:t>
      </w:r>
      <w:r>
        <w:rPr>
          <w:rFonts w:ascii="仿宋_GB2312" w:eastAsia="仿宋_GB2312" w:cs="仿宋_GB2312"/>
          <w:sz w:val="32"/>
          <w:szCs w:val="32"/>
          <w:lang w:bidi="ar"/>
        </w:rPr>
        <w:t>00万元的稳定经营支持。</w:t>
      </w:r>
    </w:p>
    <w:p w14:paraId="2C4B8EDA">
      <w:pPr>
        <w:spacing w:line="560" w:lineRule="exact"/>
        <w:ind w:firstLine="640" w:firstLineChars="200"/>
        <w:outlineLvl w:val="0"/>
        <w:rPr>
          <w:rFonts w:hint="eastAsia" w:ascii="仿宋_GB2312" w:hAnsi="仿宋_GB2312" w:eastAsia="仿宋_GB2312" w:cs="仿宋_GB2312"/>
          <w:sz w:val="32"/>
          <w:szCs w:val="32"/>
        </w:rPr>
      </w:pPr>
      <w:r>
        <w:rPr>
          <w:rFonts w:hint="eastAsia" w:ascii="楷体_GB2312" w:eastAsia="楷体_GB2312" w:cs="楷体_GB2312"/>
          <w:sz w:val="32"/>
          <w:szCs w:val="32"/>
          <w:lang w:eastAsia="zh-CN" w:bidi="ar"/>
        </w:rPr>
        <w:t>（六）</w:t>
      </w:r>
      <w:r>
        <w:rPr>
          <w:rFonts w:ascii="楷体_GB2312" w:eastAsia="楷体_GB2312" w:cs="楷体_GB2312"/>
          <w:sz w:val="32"/>
          <w:szCs w:val="32"/>
          <w:lang w:bidi="ar"/>
        </w:rPr>
        <w:t>鼓励鸿蒙人才提升专业技能</w:t>
      </w:r>
      <w:r>
        <w:rPr>
          <w:rFonts w:hint="eastAsia" w:ascii="楷体_GB2312" w:eastAsia="楷体_GB2312" w:cs="楷体_GB2312"/>
          <w:sz w:val="32"/>
          <w:szCs w:val="32"/>
          <w:lang w:eastAsia="zh-CN" w:bidi="ar"/>
        </w:rPr>
        <w:t>。</w:t>
      </w:r>
      <w:r>
        <w:rPr>
          <w:rFonts w:hint="eastAsia" w:ascii="仿宋_GB2312" w:hAnsi="仿宋_GB2312" w:eastAsia="仿宋_GB2312" w:cs="仿宋_GB2312"/>
          <w:sz w:val="32"/>
          <w:szCs w:val="32"/>
        </w:rPr>
        <w:t>对员工取得</w:t>
      </w:r>
      <w:r>
        <w:rPr>
          <w:rFonts w:hint="eastAsia" w:ascii="仿宋_GB2312" w:hAnsi="仿宋_GB2312" w:eastAsia="仿宋_GB2312" w:cs="仿宋_GB2312"/>
          <w:sz w:val="32"/>
          <w:szCs w:val="32"/>
          <w:lang w:val="en-US" w:eastAsia="zh-CN"/>
        </w:rPr>
        <w:t>HarmonyOS应用开发者高级认证等鸿蒙</w:t>
      </w:r>
      <w:r>
        <w:rPr>
          <w:rFonts w:hint="eastAsia" w:ascii="仿宋_GB2312" w:hAnsi="仿宋_GB2312" w:eastAsia="仿宋_GB2312" w:cs="仿宋_GB2312"/>
          <w:sz w:val="32"/>
          <w:szCs w:val="32"/>
        </w:rPr>
        <w:t>相关专业证书的企业，按照每人不超过2万元的标准给予一次性奖励。</w:t>
      </w:r>
    </w:p>
    <w:p w14:paraId="44321A0B">
      <w:pPr>
        <w:spacing w:line="560" w:lineRule="exact"/>
        <w:ind w:firstLine="640" w:firstLineChars="200"/>
        <w:outlineLvl w:val="0"/>
        <w:rPr>
          <w:rFonts w:ascii="仿宋_GB2312" w:hAnsi="仿宋_GB2312" w:eastAsia="仿宋_GB2312" w:cs="仿宋_GB2312"/>
          <w:sz w:val="32"/>
          <w:szCs w:val="32"/>
        </w:rPr>
      </w:pPr>
      <w:r>
        <w:rPr>
          <w:rFonts w:hint="eastAsia" w:ascii="楷体_GB2312" w:eastAsia="楷体_GB2312" w:cs="楷体_GB2312"/>
          <w:sz w:val="32"/>
          <w:szCs w:val="32"/>
          <w:lang w:eastAsia="zh-CN" w:bidi="ar"/>
        </w:rPr>
        <w:t>（七）</w:t>
      </w:r>
      <w:r>
        <w:rPr>
          <w:rFonts w:ascii="楷体_GB2312" w:eastAsia="楷体_GB2312" w:cs="楷体_GB2312"/>
          <w:sz w:val="32"/>
          <w:szCs w:val="32"/>
          <w:lang w:bidi="ar"/>
        </w:rPr>
        <w:t>鸿蒙公共服务平台建设支持</w:t>
      </w:r>
      <w:r>
        <w:rPr>
          <w:rFonts w:hint="eastAsia" w:ascii="楷体_GB2312" w:eastAsia="楷体_GB2312" w:cs="楷体_GB2312"/>
          <w:sz w:val="32"/>
          <w:szCs w:val="32"/>
          <w:lang w:eastAsia="zh-CN" w:bidi="ar"/>
        </w:rPr>
        <w:t>。</w:t>
      </w:r>
      <w:r>
        <w:rPr>
          <w:rFonts w:hint="eastAsia" w:ascii="仿宋_GB2312" w:hAnsi="仿宋_GB2312" w:eastAsia="仿宋_GB2312" w:cs="仿宋_GB2312"/>
          <w:sz w:val="32"/>
          <w:szCs w:val="32"/>
        </w:rPr>
        <w:t>对鸿蒙公共服务平台开展成果转化、共性技术研发共享、产业生态构建等公共服务事项，每年给予最高2000万元资金支持。</w:t>
      </w:r>
    </w:p>
    <w:p w14:paraId="3BAB24D6">
      <w:pPr>
        <w:autoSpaceDE w:val="0"/>
        <w:spacing w:line="560" w:lineRule="exact"/>
        <w:ind w:firstLine="640" w:firstLineChars="200"/>
        <w:outlineLvl w:val="0"/>
        <w:rPr>
          <w:rFonts w:hint="eastAsia" w:ascii="仿宋_GB2312" w:hAnsi="Calibri" w:eastAsia="仿宋_GB2312" w:cs="仿宋_GB2312"/>
          <w:bCs/>
          <w:sz w:val="32"/>
          <w:szCs w:val="32"/>
          <w:lang w:bidi="ar"/>
        </w:rPr>
      </w:pPr>
      <w:r>
        <w:rPr>
          <w:rFonts w:hint="eastAsia" w:ascii="楷体_GB2312" w:eastAsia="楷体_GB2312" w:cs="楷体_GB2312"/>
          <w:sz w:val="32"/>
          <w:szCs w:val="32"/>
          <w:lang w:eastAsia="zh-CN" w:bidi="ar"/>
        </w:rPr>
        <w:t>（八）</w:t>
      </w:r>
      <w:r>
        <w:rPr>
          <w:rFonts w:ascii="楷体_GB2312" w:eastAsia="楷体_GB2312" w:cs="楷体_GB2312"/>
          <w:sz w:val="32"/>
          <w:szCs w:val="32"/>
          <w:lang w:bidi="ar"/>
        </w:rPr>
        <w:t>鸿蒙</w:t>
      </w:r>
      <w:r>
        <w:rPr>
          <w:rFonts w:hint="eastAsia" w:ascii="楷体_GB2312" w:eastAsia="楷体_GB2312" w:cs="楷体_GB2312"/>
          <w:sz w:val="32"/>
          <w:szCs w:val="32"/>
          <w:lang w:eastAsia="zh-CN" w:bidi="ar"/>
        </w:rPr>
        <w:t>产业</w:t>
      </w:r>
      <w:r>
        <w:rPr>
          <w:rFonts w:hint="eastAsia" w:ascii="楷体_GB2312" w:eastAsia="楷体_GB2312" w:cs="楷体_GB2312"/>
          <w:sz w:val="32"/>
          <w:szCs w:val="32"/>
          <w:lang w:bidi="ar"/>
        </w:rPr>
        <w:t>标准支持</w:t>
      </w:r>
      <w:r>
        <w:rPr>
          <w:rFonts w:hint="eastAsia" w:ascii="楷体_GB2312" w:eastAsia="楷体_GB2312" w:cs="楷体_GB2312"/>
          <w:sz w:val="32"/>
          <w:szCs w:val="32"/>
          <w:lang w:eastAsia="zh-CN" w:bidi="ar"/>
        </w:rPr>
        <w:t>。</w:t>
      </w:r>
      <w:r>
        <w:rPr>
          <w:rFonts w:hint="eastAsia" w:ascii="仿宋_GB2312" w:hAnsi="Calibri" w:eastAsia="仿宋_GB2312" w:cs="仿宋_GB2312"/>
          <w:bCs/>
          <w:sz w:val="32"/>
          <w:szCs w:val="32"/>
          <w:lang w:bidi="ar"/>
        </w:rPr>
        <w:t>鼓励企事业单位、各类机构深度参与鸿蒙产业标准研制与落地实施。对主导编制鸿蒙产业相关标准，</w:t>
      </w:r>
      <w:r>
        <w:rPr>
          <w:rFonts w:hint="eastAsia" w:ascii="仿宋_GB2312" w:hAnsi="Calibri" w:eastAsia="仿宋_GB2312" w:cs="仿宋_GB2312"/>
          <w:bCs/>
          <w:sz w:val="32"/>
          <w:szCs w:val="32"/>
          <w:lang w:eastAsia="zh-CN" w:bidi="ar"/>
        </w:rPr>
        <w:t>且</w:t>
      </w:r>
      <w:r>
        <w:rPr>
          <w:rFonts w:hint="eastAsia" w:ascii="仿宋_GB2312" w:hAnsi="Calibri" w:eastAsia="仿宋_GB2312" w:cs="仿宋_GB2312"/>
          <w:bCs/>
          <w:sz w:val="32"/>
          <w:szCs w:val="32"/>
          <w:lang w:bidi="ar"/>
        </w:rPr>
        <w:t>实施鸿蒙产业标准取得实效的单位，给予最高500万元奖励。</w:t>
      </w:r>
    </w:p>
    <w:p w14:paraId="7C5AD788">
      <w:pPr>
        <w:autoSpaceDE w:val="0"/>
        <w:spacing w:line="560" w:lineRule="exact"/>
        <w:ind w:firstLine="643" w:firstLineChars="200"/>
        <w:outlineLvl w:val="0"/>
        <w:rPr>
          <w:rFonts w:hint="default" w:ascii="仿宋_GB2312" w:hAnsi="仿宋_GB2312" w:eastAsia="仿宋_GB2312" w:cs="仿宋_GB2312"/>
          <w:color w:val="000000"/>
          <w:spacing w:val="0"/>
          <w:w w:val="100"/>
          <w:kern w:val="0"/>
          <w:position w:val="0"/>
          <w:sz w:val="32"/>
          <w:szCs w:val="32"/>
          <w:lang w:val="en-US" w:eastAsia="zh-CN" w:bidi="en-US"/>
        </w:rPr>
      </w:pPr>
      <w:r>
        <w:rPr>
          <w:rFonts w:hint="eastAsia" w:ascii="仿宋_GB2312" w:hAnsi="仿宋_GB2312" w:eastAsia="仿宋_GB2312" w:cs="仿宋_GB2312"/>
          <w:b/>
          <w:bCs/>
          <w:color w:val="000000"/>
          <w:spacing w:val="0"/>
          <w:w w:val="100"/>
          <w:kern w:val="0"/>
          <w:position w:val="0"/>
          <w:sz w:val="32"/>
          <w:szCs w:val="32"/>
          <w:lang w:val="en-US" w:eastAsia="zh-CN" w:bidi="en-US"/>
        </w:rPr>
        <w:t>第三章：附则。</w:t>
      </w:r>
      <w:r>
        <w:rPr>
          <w:rFonts w:hint="eastAsia" w:ascii="仿宋_GB2312" w:hAnsi="仿宋_GB2312" w:eastAsia="仿宋_GB2312" w:cs="仿宋_GB2312"/>
          <w:color w:val="000000"/>
          <w:spacing w:val="0"/>
          <w:w w:val="100"/>
          <w:kern w:val="0"/>
          <w:position w:val="0"/>
          <w:sz w:val="32"/>
          <w:szCs w:val="32"/>
          <w:lang w:val="en-US" w:eastAsia="zh-CN" w:bidi="en-US"/>
        </w:rPr>
        <w:t>阐述本措施的其他相关事项。</w:t>
      </w:r>
    </w:p>
    <w:p w14:paraId="11478147">
      <w:pPr>
        <w:pStyle w:val="12"/>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ind w:left="0" w:right="0" w:firstLine="640" w:firstLineChars="200"/>
        <w:jc w:val="both"/>
        <w:textAlignment w:val="auto"/>
        <w:outlineLvl w:val="9"/>
        <w:rPr>
          <w:rFonts w:hint="default" w:ascii="黑体" w:hAnsi="黑体" w:eastAsia="黑体" w:cs="黑体"/>
          <w:sz w:val="32"/>
          <w:szCs w:val="32"/>
          <w:highlight w:val="none"/>
          <w:lang w:val="en-US" w:eastAsia="zh-CN"/>
        </w:rPr>
      </w:pPr>
      <w:r>
        <w:rPr>
          <w:rFonts w:hint="eastAsia" w:ascii="黑体" w:hAnsi="黑体" w:eastAsia="黑体" w:cs="黑体"/>
          <w:sz w:val="32"/>
          <w:szCs w:val="32"/>
          <w:lang w:val="en-US" w:eastAsia="zh-CN"/>
        </w:rPr>
        <w:t>四</w:t>
      </w:r>
      <w:r>
        <w:rPr>
          <w:rFonts w:hint="default" w:ascii="黑体" w:hAnsi="黑体" w:eastAsia="黑体" w:cs="黑体"/>
          <w:sz w:val="32"/>
          <w:szCs w:val="32"/>
          <w:highlight w:val="none"/>
          <w:lang w:val="en-US" w:eastAsia="zh-CN"/>
        </w:rPr>
        <w:t>、征求意见及技术审查情况</w:t>
      </w:r>
    </w:p>
    <w:p w14:paraId="5A59E2D0">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2026年6月，南山区工业和信息化局就《扶持措施》共征求16个区直机关、事业单位、驻区职能单位意见，收到意见10条，采纳10条。</w:t>
      </w:r>
    </w:p>
    <w:p w14:paraId="50D868AE">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2026年7月28日，南山区工业和信息化局就《扶持措施》组织召开专家咨询论证会，评审组认为《扶持措施》的编制基本符合国家、省、市的相关要求，符合南山区情，一致同意通过论证。</w:t>
      </w:r>
    </w:p>
    <w:p w14:paraId="19DE37AF">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2026年8月18日，南山区工业和信息化局就《扶持措施》开展与宏观政策取向一致性评估，经评估，《扶持措施》总体符合宏观政策取向。</w:t>
      </w:r>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汉仪尚巍手书W"/>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汉仪尚巍手书W"/>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Calibri Light">
    <w:altName w:val="DejaVu Sans"/>
    <w:panose1 w:val="020F0302020204030204"/>
    <w:charset w:val="00"/>
    <w:family w:val="swiss"/>
    <w:pitch w:val="default"/>
    <w:sig w:usb0="00000000" w:usb1="00000000" w:usb2="00000009" w:usb3="00000000" w:csb0="000001FF" w:csb1="00000000"/>
  </w:font>
  <w:font w:name="汉仪尚巍手书W">
    <w:panose1 w:val="00020600040101010101"/>
    <w:charset w:val="86"/>
    <w:family w:val="auto"/>
    <w:pitch w:val="default"/>
    <w:sig w:usb0="8000001F" w:usb1="1A0F781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00064">
    <w:pPr>
      <w:keepNext w:val="0"/>
      <w:keepLines w:val="0"/>
      <w:widowControl w:val="0"/>
      <w:shd w:val="clear" w:color="auto" w:fill="auto"/>
      <w:bidi w:val="0"/>
      <w:spacing w:before="0" w:after="0" w:line="1" w:lineRule="exact"/>
      <w:ind w:left="0" w:right="0" w:firstLine="0"/>
      <w:jc w:val="left"/>
      <w:rPr>
        <w:rFonts w:ascii="Times New Roman" w:hAnsi="Times New Roman" w:eastAsia="Times New Roman" w:cs="Times New Roman"/>
        <w:color w:val="000000"/>
        <w:spacing w:val="0"/>
        <w:w w:val="100"/>
        <w:kern w:val="0"/>
        <w:position w:val="0"/>
        <w:sz w:val="24"/>
        <w:szCs w:val="24"/>
        <w:shd w:val="clear" w:color="auto" w:fill="auto"/>
        <w:lang w:eastAsia="en-US" w:bidi="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EB6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77CB52"/>
    <w:multiLevelType w:val="multilevel"/>
    <w:tmpl w:val="BE77CB52"/>
    <w:lvl w:ilvl="0" w:tentative="0">
      <w:start w:val="1"/>
      <w:numFmt w:val="chineseCountingThousand"/>
      <w:pStyle w:val="4"/>
      <w:lvlText w:val="第%1条"/>
      <w:lvlJc w:val="left"/>
      <w:pPr>
        <w:ind w:left="640" w:hanging="440"/>
      </w:pPr>
      <w:rPr>
        <w:rFonts w:hint="eastAsia" w:ascii="楷体_GB2312" w:hAnsi="楷体_GB2312" w:eastAsia="楷体_GB2312" w:cs="楷体_GB2312"/>
        <w:sz w:val="32"/>
      </w:rPr>
    </w:lvl>
    <w:lvl w:ilvl="1" w:tentative="0">
      <w:start w:val="1"/>
      <w:numFmt w:val="lowerLetter"/>
      <w:lvlText w:val="%2)"/>
      <w:lvlJc w:val="left"/>
      <w:pPr>
        <w:ind w:left="1080" w:hanging="440"/>
      </w:pPr>
      <w:rPr>
        <w:rFonts w:hint="eastAsia"/>
      </w:rPr>
    </w:lvl>
    <w:lvl w:ilvl="2" w:tentative="0">
      <w:start w:val="1"/>
      <w:numFmt w:val="lowerRoman"/>
      <w:lvlText w:val="%3."/>
      <w:lvlJc w:val="right"/>
      <w:pPr>
        <w:ind w:left="1520" w:hanging="440"/>
      </w:pPr>
      <w:rPr>
        <w:rFonts w:hint="eastAsia"/>
      </w:rPr>
    </w:lvl>
    <w:lvl w:ilvl="3" w:tentative="0">
      <w:start w:val="1"/>
      <w:numFmt w:val="decimal"/>
      <w:lvlText w:val="%4."/>
      <w:lvlJc w:val="left"/>
      <w:pPr>
        <w:ind w:left="1960" w:hanging="440"/>
      </w:pPr>
      <w:rPr>
        <w:rFonts w:hint="eastAsia"/>
      </w:rPr>
    </w:lvl>
    <w:lvl w:ilvl="4" w:tentative="0">
      <w:start w:val="1"/>
      <w:numFmt w:val="lowerLetter"/>
      <w:lvlText w:val="%5)"/>
      <w:lvlJc w:val="left"/>
      <w:pPr>
        <w:ind w:left="2400" w:hanging="440"/>
      </w:pPr>
      <w:rPr>
        <w:rFonts w:hint="eastAsia"/>
      </w:rPr>
    </w:lvl>
    <w:lvl w:ilvl="5" w:tentative="0">
      <w:start w:val="1"/>
      <w:numFmt w:val="lowerRoman"/>
      <w:lvlText w:val="%6."/>
      <w:lvlJc w:val="right"/>
      <w:pPr>
        <w:ind w:left="2840" w:hanging="440"/>
      </w:pPr>
      <w:rPr>
        <w:rFonts w:hint="eastAsia"/>
      </w:rPr>
    </w:lvl>
    <w:lvl w:ilvl="6" w:tentative="0">
      <w:start w:val="1"/>
      <w:numFmt w:val="decimal"/>
      <w:lvlText w:val="%7."/>
      <w:lvlJc w:val="left"/>
      <w:pPr>
        <w:ind w:left="3280" w:hanging="440"/>
      </w:pPr>
      <w:rPr>
        <w:rFonts w:hint="eastAsia"/>
      </w:rPr>
    </w:lvl>
    <w:lvl w:ilvl="7" w:tentative="0">
      <w:start w:val="1"/>
      <w:numFmt w:val="lowerLetter"/>
      <w:lvlText w:val="%8)"/>
      <w:lvlJc w:val="left"/>
      <w:pPr>
        <w:ind w:left="3720" w:hanging="440"/>
      </w:pPr>
      <w:rPr>
        <w:rFonts w:hint="eastAsia"/>
      </w:rPr>
    </w:lvl>
    <w:lvl w:ilvl="8" w:tentative="0">
      <w:start w:val="1"/>
      <w:numFmt w:val="lowerRoman"/>
      <w:lvlText w:val="%9."/>
      <w:lvlJc w:val="right"/>
      <w:pPr>
        <w:ind w:left="4160" w:hanging="4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63CE0"/>
    <w:rsid w:val="135476F5"/>
    <w:rsid w:val="1D8561AE"/>
    <w:rsid w:val="1FEFC71D"/>
    <w:rsid w:val="2DF904D4"/>
    <w:rsid w:val="367EFA16"/>
    <w:rsid w:val="378708BA"/>
    <w:rsid w:val="3A432417"/>
    <w:rsid w:val="3F4F3647"/>
    <w:rsid w:val="3FF51DC4"/>
    <w:rsid w:val="47FB9894"/>
    <w:rsid w:val="49B77521"/>
    <w:rsid w:val="4EFD0EAE"/>
    <w:rsid w:val="5FF2226D"/>
    <w:rsid w:val="67FC99D5"/>
    <w:rsid w:val="6BF78670"/>
    <w:rsid w:val="6CFC2D09"/>
    <w:rsid w:val="6D01748B"/>
    <w:rsid w:val="6FFFD38D"/>
    <w:rsid w:val="77924D3D"/>
    <w:rsid w:val="77C004F3"/>
    <w:rsid w:val="781170FB"/>
    <w:rsid w:val="797A7753"/>
    <w:rsid w:val="7BFDE81E"/>
    <w:rsid w:val="7C6364E6"/>
    <w:rsid w:val="7DBF6F05"/>
    <w:rsid w:val="7DCF80FC"/>
    <w:rsid w:val="7E5319F0"/>
    <w:rsid w:val="7F517E80"/>
    <w:rsid w:val="7FBFE834"/>
    <w:rsid w:val="7FEBADA0"/>
    <w:rsid w:val="7FF63E97"/>
    <w:rsid w:val="8DFAA3C7"/>
    <w:rsid w:val="9FC8F9A0"/>
    <w:rsid w:val="A4DFE221"/>
    <w:rsid w:val="ABFF50EB"/>
    <w:rsid w:val="CF7F19D4"/>
    <w:rsid w:val="DDFFAF41"/>
    <w:rsid w:val="DE97B067"/>
    <w:rsid w:val="DEBFEF99"/>
    <w:rsid w:val="E5A3A3E5"/>
    <w:rsid w:val="EFEFEF5A"/>
    <w:rsid w:val="F9EE3631"/>
    <w:rsid w:val="FB574766"/>
    <w:rsid w:val="FB7E1508"/>
    <w:rsid w:val="FBFD5BEB"/>
    <w:rsid w:val="FDEFA5D1"/>
    <w:rsid w:val="FE334373"/>
    <w:rsid w:val="FF5F76FF"/>
    <w:rsid w:val="FFED5171"/>
    <w:rsid w:val="FFFB8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ascii="Calibri" w:hAnsi="Calibri" w:eastAsia="仿宋_GB2312" w:cs="Times New Roman"/>
      <w:kern w:val="2"/>
      <w:sz w:val="32"/>
      <w:szCs w:val="22"/>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Arial" w:hAnsi="Arial" w:eastAsia="方正小标宋简体" w:cs="Times New Roman"/>
      <w:kern w:val="44"/>
      <w:sz w:val="44"/>
    </w:rPr>
  </w:style>
  <w:style w:type="paragraph" w:styleId="4">
    <w:name w:val="heading 2"/>
    <w:basedOn w:val="1"/>
    <w:next w:val="1"/>
    <w:link w:val="11"/>
    <w:semiHidden/>
    <w:unhideWhenUsed/>
    <w:qFormat/>
    <w:uiPriority w:val="0"/>
    <w:pPr>
      <w:keepNext/>
      <w:keepLines/>
      <w:numPr>
        <w:ilvl w:val="0"/>
        <w:numId w:val="1"/>
      </w:numPr>
      <w:ind w:left="0" w:firstLine="880" w:firstLineChars="200"/>
      <w:outlineLvl w:val="1"/>
    </w:pPr>
    <w:rPr>
      <w:rFonts w:ascii="黑体" w:hAnsi="黑体" w:eastAsia="黑体" w:cs="黑体"/>
    </w:rPr>
  </w:style>
  <w:style w:type="paragraph" w:styleId="5">
    <w:name w:val="heading 3"/>
    <w:basedOn w:val="1"/>
    <w:next w:val="1"/>
    <w:semiHidden/>
    <w:unhideWhenUsed/>
    <w:qFormat/>
    <w:uiPriority w:val="0"/>
    <w:pPr>
      <w:keepNext/>
      <w:keepLines/>
      <w:spacing w:beforeLines="0" w:beforeAutospacing="0" w:afterLines="0" w:afterAutospacing="0" w:line="560" w:lineRule="exact"/>
      <w:ind w:firstLine="642" w:firstLineChars="200"/>
      <w:outlineLvl w:val="2"/>
    </w:pPr>
    <w:rPr>
      <w:rFonts w:eastAsia="楷体_GB2312" w:asciiTheme="minorAscii" w:hAnsiTheme="minorAscii" w:cstheme="minorBidi"/>
    </w:rPr>
  </w:style>
  <w:style w:type="character" w:default="1" w:styleId="8">
    <w:name w:val="Default Paragraph Font"/>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Heading4"/>
    <w:basedOn w:val="1"/>
    <w:next w:val="1"/>
    <w:qFormat/>
    <w:uiPriority w:val="0"/>
    <w:pPr>
      <w:keepNext/>
      <w:keepLines/>
      <w:spacing w:before="280" w:after="290" w:line="376" w:lineRule="auto"/>
      <w:textAlignment w:val="baseline"/>
    </w:pPr>
    <w:rPr>
      <w:rFonts w:ascii="Cambria" w:hAnsi="Cambria"/>
      <w:b/>
      <w:bCs/>
      <w:sz w:val="28"/>
      <w:szCs w:val="2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标题 2 字符"/>
    <w:basedOn w:val="8"/>
    <w:link w:val="4"/>
    <w:qFormat/>
    <w:uiPriority w:val="0"/>
    <w:rPr>
      <w:rFonts w:eastAsia="楷体_GB2312" w:asciiTheme="majorAscii" w:hAnsiTheme="majorAscii" w:cstheme="majorBidi"/>
      <w:bCs/>
      <w:kern w:val="2"/>
      <w:sz w:val="32"/>
      <w:szCs w:val="32"/>
    </w:rPr>
  </w:style>
  <w:style w:type="paragraph" w:customStyle="1" w:styleId="12">
    <w:name w:val="Body text|1"/>
    <w:qFormat/>
    <w:uiPriority w:val="0"/>
    <w:pPr>
      <w:keepNext w:val="0"/>
      <w:keepLines w:val="0"/>
      <w:widowControl w:val="0"/>
      <w:shd w:val="clear" w:color="auto" w:fill="auto"/>
      <w:bidi w:val="0"/>
      <w:spacing w:before="0" w:after="0" w:line="430" w:lineRule="auto"/>
      <w:ind w:left="0" w:right="0" w:firstLine="400"/>
      <w:jc w:val="left"/>
    </w:pPr>
    <w:rPr>
      <w:rFonts w:ascii="宋体" w:hAnsi="宋体" w:eastAsia="宋体" w:cs="宋体"/>
      <w:color w:val="000000"/>
      <w:spacing w:val="0"/>
      <w:w w:val="100"/>
      <w:position w:val="0"/>
      <w:sz w:val="28"/>
      <w:szCs w:val="28"/>
      <w:u w:val="none"/>
      <w:shd w:val="clear" w:color="auto" w:fill="auto"/>
      <w:lang w:val="zh-TW" w:eastAsia="zh-TW" w:bidi="zh-TW"/>
    </w:rPr>
  </w:style>
  <w:style w:type="paragraph" w:customStyle="1" w:styleId="13">
    <w:name w:val="Heading #1|1"/>
    <w:qFormat/>
    <w:uiPriority w:val="0"/>
    <w:pPr>
      <w:keepNext w:val="0"/>
      <w:keepLines w:val="0"/>
      <w:widowControl w:val="0"/>
      <w:shd w:val="clear" w:color="auto" w:fill="auto"/>
      <w:bidi w:val="0"/>
      <w:spacing w:before="0" w:after="500" w:line="563" w:lineRule="exact"/>
      <w:ind w:left="0" w:right="0" w:firstLine="0"/>
      <w:jc w:val="center"/>
      <w:outlineLvl w:val="0"/>
    </w:pPr>
    <w:rPr>
      <w:rFonts w:ascii="宋体" w:hAnsi="宋体" w:eastAsia="宋体" w:cs="宋体"/>
      <w:color w:val="000000"/>
      <w:spacing w:val="0"/>
      <w:w w:val="100"/>
      <w:position w:val="0"/>
      <w:sz w:val="44"/>
      <w:szCs w:val="44"/>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2195</Words>
  <Characters>2268</Characters>
  <Lines>0</Lines>
  <Paragraphs>0</Paragraphs>
  <TotalTime>8</TotalTime>
  <ScaleCrop>false</ScaleCrop>
  <LinksUpToDate>false</LinksUpToDate>
  <CharactersWithSpaces>2270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2023-09-15T09:26:00Z</dcterms:created>
  <dc:creator>ns</dc:creator>
  <cp:lastModifiedBy>潘森维</cp:lastModifiedBy>
  <dcterms:modified xsi:type="dcterms:W3CDTF">2026-08-21T18:12:08Z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C3A5D1DDBDB1FEEC00D1666A5B2B3650_43</vt:lpwstr>
  </property>
  <property fmtid="{D5CDD505-2E9C-101B-9397-08002B2CF9AE}" pid="4" name="KSOTemplateDocerSaveRecord">
    <vt:lpwstr>eyJoZGlkIjoiZThmYzYxYzczN2MzYjkzZjQxNjRjYjg3YTJkZWJkZjYiLCJ1c2VySWQiOiIyMTAwNjM2ODIifQ==</vt:lpwstr>
  </property>
</Properties>
</file>