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_GBK" w:hAnsi="宋体" w:eastAsia="方正小标宋_GBK"/>
          <w:sz w:val="44"/>
          <w:szCs w:val="44"/>
          <w:highlight w:val="none"/>
          <w:lang w:eastAsia="zh-CN"/>
        </w:rPr>
      </w:pPr>
      <w:bookmarkStart w:id="0" w:name="_GoBack"/>
      <w:bookmarkEnd w:id="0"/>
      <w:r>
        <w:rPr>
          <w:rFonts w:hint="eastAsia" w:ascii="方正小标宋_GBK" w:hAnsi="宋体" w:eastAsia="方正小标宋_GBK"/>
          <w:sz w:val="44"/>
          <w:szCs w:val="44"/>
          <w:highlight w:val="none"/>
          <w:lang w:eastAsia="zh-CN"/>
        </w:rPr>
        <w:t>南山区促进产业高质量发展专项资金——</w:t>
      </w:r>
    </w:p>
    <w:p>
      <w:pPr>
        <w:spacing w:line="560" w:lineRule="exact"/>
        <w:jc w:val="center"/>
        <w:outlineLvl w:val="0"/>
        <w:rPr>
          <w:rFonts w:ascii="方正小标宋_GBK" w:hAnsi="宋体" w:eastAsia="方正小标宋_GBK"/>
          <w:color w:val="000000" w:themeColor="text1"/>
          <w:sz w:val="44"/>
          <w:szCs w:val="44"/>
          <w:highlight w:val="none"/>
          <w:lang w:eastAsia="zh-CN"/>
          <w14:textFill>
            <w14:solidFill>
              <w14:schemeClr w14:val="tx1"/>
            </w14:solidFill>
          </w14:textFill>
        </w:rPr>
      </w:pPr>
      <w:r>
        <w:rPr>
          <w:rFonts w:hint="eastAsia" w:ascii="方正小标宋_GBK" w:hAnsi="宋体" w:eastAsia="方正小标宋_GBK"/>
          <w:sz w:val="44"/>
          <w:szCs w:val="44"/>
          <w:highlight w:val="none"/>
          <w:lang w:val="en-US" w:eastAsia="zh-CN"/>
        </w:rPr>
        <w:t xml:space="preserve"> </w:t>
      </w:r>
      <w:r>
        <w:rPr>
          <w:rFonts w:ascii="方正小标宋_GBK" w:hAnsi="宋体" w:eastAsia="方正小标宋_GBK"/>
          <w:color w:val="000000" w:themeColor="text1"/>
          <w:sz w:val="44"/>
          <w:szCs w:val="44"/>
          <w:highlight w:val="none"/>
          <w:lang w:eastAsia="zh-CN"/>
          <w14:textFill>
            <w14:solidFill>
              <w14:schemeClr w14:val="tx1"/>
            </w14:solidFill>
          </w14:textFill>
        </w:rPr>
        <w:t>区</w:t>
      </w:r>
      <w:r>
        <w:rPr>
          <w:rFonts w:hint="eastAsia" w:ascii="方正小标宋简体" w:hAnsi="方正小标宋简体" w:eastAsia="方正小标宋简体" w:cs="方正小标宋简体"/>
          <w:color w:val="000000"/>
          <w:sz w:val="44"/>
          <w:szCs w:val="44"/>
          <w:highlight w:val="none"/>
          <w:lang w:val="en-US" w:eastAsia="zh-CN"/>
        </w:rPr>
        <w:t>工业和信息化局</w:t>
      </w:r>
      <w:r>
        <w:rPr>
          <w:rFonts w:ascii="方正小标宋_GBK" w:hAnsi="宋体" w:eastAsia="方正小标宋_GBK"/>
          <w:color w:val="000000" w:themeColor="text1"/>
          <w:sz w:val="44"/>
          <w:szCs w:val="44"/>
          <w:highlight w:val="none"/>
          <w:lang w:eastAsia="zh-CN"/>
          <w14:textFill>
            <w14:solidFill>
              <w14:schemeClr w14:val="tx1"/>
            </w14:solidFill>
          </w14:textFill>
        </w:rPr>
        <w:t>分项资金</w:t>
      </w:r>
    </w:p>
    <w:p>
      <w:pPr>
        <w:spacing w:line="560" w:lineRule="exact"/>
        <w:jc w:val="center"/>
        <w:outlineLvl w:val="0"/>
        <w:rPr>
          <w:rFonts w:hint="eastAsia" w:ascii="方正小标宋简体" w:hAnsi="方正小标宋简体" w:eastAsia="方正小标宋简体" w:cs="方正小标宋_GBK"/>
          <w:color w:val="auto"/>
          <w:w w:val="95"/>
          <w:sz w:val="44"/>
          <w:szCs w:val="44"/>
          <w:lang w:eastAsia="zh-CN"/>
        </w:rPr>
      </w:pPr>
      <w:r>
        <w:rPr>
          <w:rFonts w:hint="eastAsia" w:ascii="方正小标宋简体" w:hAnsi="方正小标宋简体" w:eastAsia="方正小标宋简体" w:cs="方正小标宋_GBK"/>
          <w:color w:val="auto"/>
          <w:w w:val="95"/>
          <w:sz w:val="44"/>
          <w:szCs w:val="44"/>
          <w:lang w:val="en-US" w:eastAsia="zh-CN"/>
        </w:rPr>
        <w:t>2025年上半年</w:t>
      </w:r>
      <w:r>
        <w:rPr>
          <w:rFonts w:hint="eastAsia" w:ascii="方正小标宋简体" w:hAnsi="方正小标宋简体" w:eastAsia="方正小标宋简体" w:cs="方正小标宋_GBK"/>
          <w:color w:val="auto"/>
          <w:w w:val="95"/>
          <w:sz w:val="44"/>
          <w:szCs w:val="44"/>
          <w:lang w:eastAsia="zh-CN"/>
        </w:rPr>
        <w:t>鼓励营利性服务业企业</w:t>
      </w:r>
    </w:p>
    <w:p>
      <w:pPr>
        <w:spacing w:line="560" w:lineRule="exact"/>
        <w:jc w:val="center"/>
        <w:outlineLvl w:val="0"/>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_GBK"/>
          <w:color w:val="auto"/>
          <w:w w:val="95"/>
          <w:sz w:val="44"/>
          <w:szCs w:val="44"/>
          <w:lang w:eastAsia="zh-CN"/>
        </w:rPr>
        <w:t>做大做强</w:t>
      </w:r>
      <w:r>
        <w:rPr>
          <w:rFonts w:hint="eastAsia" w:ascii="方正小标宋简体" w:hAnsi="方正小标宋简体" w:eastAsia="方正小标宋简体" w:cs="方正小标宋_GBK"/>
          <w:sz w:val="44"/>
          <w:szCs w:val="44"/>
          <w:lang w:eastAsia="zh-CN"/>
        </w:rPr>
        <w:t>项目</w:t>
      </w:r>
      <w:r>
        <w:rPr>
          <w:rFonts w:hint="eastAsia" w:ascii="方正小标宋简体" w:hAnsi="方正小标宋简体" w:eastAsia="方正小标宋简体" w:cs="方正小标宋简体"/>
          <w:color w:val="000000"/>
          <w:sz w:val="44"/>
          <w:szCs w:val="44"/>
          <w:highlight w:val="none"/>
          <w:lang w:val="en-US" w:eastAsia="zh-CN"/>
        </w:rPr>
        <w:t>操作规程</w:t>
      </w:r>
    </w:p>
    <w:p>
      <w:pPr>
        <w:widowControl/>
        <w:spacing w:beforeLines="0" w:after="200" w:afterLines="0" w:line="560" w:lineRule="exact"/>
        <w:ind w:firstLine="3200" w:firstLineChars="1000"/>
        <w:jc w:val="both"/>
        <w:rPr>
          <w:rFonts w:hint="eastAsia" w:ascii="楷体_GB2312" w:hAnsi="楷体_GB2312" w:eastAsia="楷体_GB2312" w:cs="楷体_GB2312"/>
          <w:color w:val="000000"/>
          <w:kern w:val="0"/>
          <w:sz w:val="32"/>
          <w:szCs w:val="32"/>
          <w:highlight w:val="none"/>
          <w:lang w:eastAsia="zh-CN" w:bidi="en-US"/>
        </w:rPr>
      </w:pPr>
      <w:r>
        <w:rPr>
          <w:rFonts w:hint="eastAsia" w:ascii="楷体_GB2312" w:hAnsi="楷体_GB2312" w:eastAsia="楷体_GB2312" w:cs="楷体_GB2312"/>
          <w:color w:val="000000"/>
          <w:kern w:val="0"/>
          <w:sz w:val="32"/>
          <w:szCs w:val="32"/>
          <w:highlight w:val="none"/>
          <w:lang w:eastAsia="zh-CN" w:bidi="en-US"/>
        </w:rPr>
        <w:t>（</w:t>
      </w:r>
      <w:r>
        <w:rPr>
          <w:rFonts w:hint="eastAsia" w:ascii="楷体_GB2312" w:hAnsi="楷体_GB2312" w:eastAsia="楷体_GB2312" w:cs="楷体_GB2312"/>
          <w:color w:val="000000"/>
          <w:kern w:val="0"/>
          <w:sz w:val="32"/>
          <w:szCs w:val="32"/>
          <w:highlight w:val="none"/>
          <w:lang w:val="en-US" w:eastAsia="zh-CN" w:bidi="en-US"/>
        </w:rPr>
        <w:t>2025年度</w:t>
      </w:r>
      <w:r>
        <w:rPr>
          <w:rFonts w:hint="eastAsia" w:ascii="楷体_GB2312" w:hAnsi="楷体_GB2312" w:eastAsia="楷体_GB2312" w:cs="楷体_GB2312"/>
          <w:color w:val="000000"/>
          <w:kern w:val="0"/>
          <w:sz w:val="32"/>
          <w:szCs w:val="32"/>
          <w:highlight w:val="none"/>
          <w:lang w:eastAsia="zh-CN" w:bidi="en-US"/>
        </w:rPr>
        <w:t>）</w:t>
      </w:r>
    </w:p>
    <w:p>
      <w:pPr>
        <w:jc w:val="center"/>
        <w:rPr>
          <w:rFonts w:eastAsia="黑体"/>
          <w:color w:val="000000"/>
          <w:sz w:val="32"/>
          <w:szCs w:val="32"/>
        </w:rPr>
      </w:pP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南山区营利性服务业企业培育工作，鼓励企业扎根南山、做大做强，推动辖区推动服务业实现质的有效提升和量的合理增长，依据《南山区促进产业高质量发展专项资金管理办法》《南山区促进服务业高质量发展专项扶持措施》等文件规定，制定本操作规程。</w:t>
      </w:r>
    </w:p>
    <w:p>
      <w:pPr>
        <w:spacing w:line="600" w:lineRule="exact"/>
        <w:ind w:firstLine="640" w:firstLineChars="200"/>
        <w:outlineLvl w:val="0"/>
        <w:rPr>
          <w:rFonts w:hAnsi="仿宋" w:eastAsia="仿宋"/>
          <w:kern w:val="0"/>
          <w:sz w:val="32"/>
          <w:szCs w:val="32"/>
        </w:rPr>
      </w:pPr>
      <w:r>
        <w:rPr>
          <w:rFonts w:hint="eastAsia" w:hAnsi="黑体" w:eastAsia="黑体"/>
          <w:sz w:val="32"/>
          <w:szCs w:val="32"/>
        </w:rPr>
        <w:t>一、政策内容</w:t>
      </w:r>
    </w:p>
    <w:p>
      <w:pPr>
        <w:widowControl/>
        <w:spacing w:line="600" w:lineRule="exact"/>
        <w:ind w:firstLine="640" w:firstLineChars="200"/>
        <w:outlineLvl w:val="0"/>
        <w:rPr>
          <w:rFonts w:hint="eastAsia" w:hAnsi="黑体" w:eastAsia="黑体"/>
          <w:sz w:val="32"/>
          <w:szCs w:val="32"/>
        </w:rPr>
      </w:pPr>
      <w:r>
        <w:rPr>
          <w:rFonts w:hint="eastAsia" w:ascii="仿宋_GB2312" w:hAnsi="仿宋_GB2312" w:eastAsia="仿宋_GB2312" w:cs="仿宋_GB2312"/>
          <w:sz w:val="32"/>
          <w:szCs w:val="32"/>
          <w:lang w:val="en-US" w:eastAsia="zh-CN"/>
        </w:rPr>
        <w:t>对符合一定规模、增速条件的营利性服务业企业，分档给予最高1亿元奖励。</w:t>
      </w:r>
      <w:r>
        <w:rPr>
          <w:rFonts w:hint="eastAsia" w:hAnsi="黑体" w:eastAsia="黑体"/>
          <w:sz w:val="32"/>
          <w:szCs w:val="32"/>
        </w:rPr>
        <w:t xml:space="preserve">    </w:t>
      </w:r>
    </w:p>
    <w:p>
      <w:pPr>
        <w:widowControl/>
        <w:spacing w:line="600" w:lineRule="exact"/>
        <w:ind w:firstLine="640" w:firstLineChars="200"/>
        <w:outlineLvl w:val="0"/>
        <w:rPr>
          <w:rFonts w:eastAsia="黑体"/>
          <w:sz w:val="32"/>
          <w:szCs w:val="32"/>
        </w:rPr>
      </w:pPr>
      <w:r>
        <w:rPr>
          <w:rFonts w:hint="eastAsia" w:hAnsi="黑体" w:eastAsia="黑体"/>
          <w:sz w:val="32"/>
          <w:szCs w:val="32"/>
        </w:rPr>
        <w:t>二、资助方式</w:t>
      </w:r>
    </w:p>
    <w:p>
      <w:pPr>
        <w:widowControl/>
        <w:spacing w:line="600" w:lineRule="exact"/>
        <w:ind w:firstLine="537" w:firstLineChars="168"/>
        <w:rPr>
          <w:rFonts w:eastAsia="仿宋_GB2312"/>
          <w:sz w:val="32"/>
          <w:szCs w:val="32"/>
        </w:rPr>
      </w:pPr>
      <w:r>
        <w:rPr>
          <w:rFonts w:hint="eastAsia" w:eastAsia="仿宋_GB2312"/>
          <w:sz w:val="32"/>
          <w:szCs w:val="32"/>
        </w:rPr>
        <w:t>本项资助属于</w:t>
      </w:r>
      <w:r>
        <w:rPr>
          <w:rFonts w:hint="eastAsia" w:eastAsia="仿宋_GB2312"/>
          <w:sz w:val="32"/>
          <w:szCs w:val="32"/>
          <w:lang w:eastAsia="zh-CN"/>
        </w:rPr>
        <w:t>专项</w:t>
      </w:r>
      <w:r>
        <w:rPr>
          <w:rFonts w:hint="eastAsia" w:eastAsia="仿宋_GB2312"/>
          <w:sz w:val="32"/>
          <w:szCs w:val="32"/>
        </w:rPr>
        <w:t>类项目，资助资金的安排使用坚持公平、公开、公正的原则，实行自愿申报、科学决策和绩效评估的管理制度，采取无偿资助方式和事后补贴制，受资助项目无需验收。</w:t>
      </w:r>
    </w:p>
    <w:p>
      <w:pPr>
        <w:spacing w:line="560" w:lineRule="exact"/>
        <w:ind w:firstLine="640" w:firstLineChars="200"/>
        <w:outlineLvl w:val="0"/>
        <w:rPr>
          <w:rFonts w:ascii="仿宋_GB2312" w:eastAsia="仿宋_GB2312"/>
          <w:kern w:val="0"/>
          <w:sz w:val="32"/>
          <w:szCs w:val="32"/>
        </w:rPr>
      </w:pPr>
      <w:r>
        <w:rPr>
          <w:rFonts w:hint="eastAsia" w:hAnsi="黑体" w:eastAsia="黑体"/>
          <w:sz w:val="32"/>
          <w:szCs w:val="32"/>
        </w:rPr>
        <w:t>三、资助标准</w:t>
      </w:r>
    </w:p>
    <w:p>
      <w:pPr>
        <w:pageBreakBefore w:val="0"/>
        <w:widowControl/>
        <w:numPr>
          <w:ilvl w:val="0"/>
          <w:numId w:val="0"/>
        </w:numPr>
        <w:kinsoku/>
        <w:wordWrap/>
        <w:overflowPunct/>
        <w:topLinePunct w:val="0"/>
        <w:autoSpaceDE/>
        <w:autoSpaceDN/>
        <w:bidi w:val="0"/>
        <w:adjustRightInd/>
        <w:snapToGrid/>
        <w:spacing w:line="560" w:lineRule="exact"/>
        <w:ind w:firstLine="640" w:firstLineChars="200"/>
        <w:rPr>
          <w:rFonts w:hint="default" w:ascii="仿宋_GB2312" w:hAnsi="黑体" w:eastAsia="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黑体" w:eastAsia="仿宋_GB2312"/>
          <w:b w:val="0"/>
          <w:bCs w:val="0"/>
          <w:sz w:val="32"/>
          <w:szCs w:val="32"/>
          <w:highlight w:val="none"/>
          <w:lang w:val="en-US" w:eastAsia="zh-CN"/>
        </w:rPr>
        <w:t>对于2025年上半年快报营收同比增速高于10%且不高于20%、高于20%的营利性服务业规上主体，对营收超10%的增量部分给予奖励，奖励比例分别为0.1%、0.15%。每家主体每年最高可获得此项目奖励1亿元。计算方式如下：</w:t>
      </w:r>
    </w:p>
    <w:tbl>
      <w:tblPr>
        <w:tblStyle w:val="7"/>
        <w:tblW w:w="7633" w:type="dxa"/>
        <w:jc w:val="center"/>
        <w:tblLayout w:type="fixed"/>
        <w:tblCellMar>
          <w:top w:w="0" w:type="dxa"/>
          <w:left w:w="0" w:type="dxa"/>
          <w:bottom w:w="0" w:type="dxa"/>
          <w:right w:w="0" w:type="dxa"/>
        </w:tblCellMar>
      </w:tblPr>
      <w:tblGrid>
        <w:gridCol w:w="4188"/>
        <w:gridCol w:w="3445"/>
      </w:tblGrid>
      <w:tr>
        <w:tblPrEx>
          <w:tblCellMar>
            <w:top w:w="0" w:type="dxa"/>
            <w:left w:w="0" w:type="dxa"/>
            <w:bottom w:w="0" w:type="dxa"/>
            <w:right w:w="0" w:type="dxa"/>
          </w:tblCellMar>
        </w:tblPrEx>
        <w:trPr>
          <w:trHeight w:val="422" w:hRule="atLeast"/>
          <w:jc w:val="center"/>
        </w:trPr>
        <w:tc>
          <w:tcPr>
            <w:tcW w:w="418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hint="default" w:ascii="宋体" w:hAnsi="宋体" w:eastAsia="宋体" w:cs="宋体"/>
                <w:b/>
                <w:color w:val="000000"/>
                <w:szCs w:val="21"/>
                <w:highlight w:val="none"/>
                <w:lang w:val="en-US" w:eastAsia="zh-CN"/>
              </w:rPr>
            </w:pPr>
            <w:r>
              <w:rPr>
                <w:rFonts w:hint="eastAsia" w:ascii="宋体" w:hAnsi="宋体" w:eastAsia="宋体" w:cs="宋体"/>
                <w:b/>
                <w:color w:val="000000"/>
                <w:szCs w:val="21"/>
                <w:highlight w:val="none"/>
                <w:lang w:val="en-US" w:eastAsia="zh-CN"/>
              </w:rPr>
              <w:t>奖励条件</w:t>
            </w:r>
          </w:p>
        </w:tc>
        <w:tc>
          <w:tcPr>
            <w:tcW w:w="3445"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tcMar>
              <w:top w:w="15" w:type="dxa"/>
              <w:left w:w="15" w:type="dxa"/>
              <w:right w:w="15" w:type="dxa"/>
            </w:tcMar>
            <w:vAlign w:val="center"/>
          </w:tcPr>
          <w:p>
            <w:pPr>
              <w:widowControl/>
              <w:jc w:val="center"/>
              <w:textAlignment w:val="center"/>
              <w:rPr>
                <w:rFonts w:hint="eastAsia" w:ascii="宋体" w:hAnsi="宋体" w:eastAsia="宋体" w:cs="宋体"/>
                <w:b/>
                <w:color w:val="000000"/>
                <w:szCs w:val="21"/>
                <w:highlight w:val="none"/>
                <w:lang w:eastAsia="zh-CN"/>
              </w:rPr>
            </w:pPr>
            <w:r>
              <w:rPr>
                <w:rFonts w:hint="eastAsia" w:ascii="宋体" w:hAnsi="宋体" w:eastAsia="宋体" w:cs="宋体"/>
                <w:b/>
                <w:color w:val="000000"/>
                <w:szCs w:val="21"/>
                <w:highlight w:val="none"/>
                <w:lang w:eastAsia="zh-CN"/>
              </w:rPr>
              <w:t>资助金额</w:t>
            </w:r>
          </w:p>
        </w:tc>
      </w:tr>
      <w:tr>
        <w:tblPrEx>
          <w:tblCellMar>
            <w:top w:w="0" w:type="dxa"/>
            <w:left w:w="0" w:type="dxa"/>
            <w:bottom w:w="0" w:type="dxa"/>
            <w:right w:w="0" w:type="dxa"/>
          </w:tblCellMar>
        </w:tblPrEx>
        <w:trPr>
          <w:trHeight w:val="480" w:hRule="atLeast"/>
          <w:jc w:val="center"/>
        </w:trPr>
        <w:tc>
          <w:tcPr>
            <w:tcW w:w="418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10%&lt;上半年营收同比增速≤20%</w:t>
            </w:r>
          </w:p>
        </w:tc>
        <w:tc>
          <w:tcPr>
            <w:tcW w:w="3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0.1%*[2025年上半年营收-2024年上半年营收*(1+10%)]</w:t>
            </w:r>
          </w:p>
        </w:tc>
      </w:tr>
      <w:tr>
        <w:tblPrEx>
          <w:tblCellMar>
            <w:top w:w="0" w:type="dxa"/>
            <w:left w:w="0" w:type="dxa"/>
            <w:bottom w:w="0" w:type="dxa"/>
            <w:right w:w="0" w:type="dxa"/>
          </w:tblCellMar>
        </w:tblPrEx>
        <w:trPr>
          <w:trHeight w:val="480" w:hRule="atLeast"/>
          <w:jc w:val="center"/>
        </w:trPr>
        <w:tc>
          <w:tcPr>
            <w:tcW w:w="418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上半年营收同比增速＞20%</w:t>
            </w:r>
          </w:p>
        </w:tc>
        <w:tc>
          <w:tcPr>
            <w:tcW w:w="3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0.15%*[2025年上半年营收-2024年上半年营收*(1+10%)]</w:t>
            </w:r>
          </w:p>
        </w:tc>
      </w:tr>
    </w:tbl>
    <w:p>
      <w:pPr>
        <w:numPr>
          <w:ilvl w:val="0"/>
          <w:numId w:val="0"/>
        </w:numPr>
        <w:spacing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lang w:val="en-US" w:eastAsia="zh-CN"/>
        </w:rPr>
        <w:t>（二）对于</w:t>
      </w:r>
      <w:r>
        <w:rPr>
          <w:rFonts w:hint="default" w:ascii="仿宋_GB2312" w:hAnsi="仿宋_GB2312" w:eastAsia="仿宋_GB2312" w:cs="仿宋_GB2312"/>
          <w:b w:val="0"/>
          <w:bCs w:val="0"/>
          <w:sz w:val="32"/>
          <w:szCs w:val="32"/>
          <w:lang w:val="en-US" w:eastAsia="zh-CN"/>
        </w:rPr>
        <w:t>在“统计直报系统”</w:t>
      </w:r>
      <w:r>
        <w:rPr>
          <w:rFonts w:hint="eastAsia" w:ascii="仿宋_GB2312" w:hAnsi="仿宋_GB2312" w:eastAsia="仿宋_GB2312" w:cs="仿宋_GB2312"/>
          <w:b w:val="0"/>
          <w:bCs w:val="0"/>
          <w:sz w:val="32"/>
          <w:szCs w:val="32"/>
          <w:lang w:val="en-US" w:eastAsia="zh-CN"/>
        </w:rPr>
        <w:t>去年同期</w:t>
      </w:r>
      <w:r>
        <w:rPr>
          <w:rFonts w:hint="default" w:ascii="仿宋_GB2312" w:hAnsi="仿宋_GB2312" w:eastAsia="仿宋_GB2312" w:cs="仿宋_GB2312"/>
          <w:b w:val="0"/>
          <w:bCs w:val="0"/>
          <w:sz w:val="32"/>
          <w:szCs w:val="32"/>
          <w:lang w:val="en-US" w:eastAsia="zh-CN"/>
        </w:rPr>
        <w:t>营收</w:t>
      </w:r>
      <w:r>
        <w:rPr>
          <w:rFonts w:hint="eastAsia" w:ascii="仿宋_GB2312" w:hAnsi="仿宋_GB2312" w:eastAsia="仿宋_GB2312" w:cs="仿宋_GB2312"/>
          <w:b w:val="0"/>
          <w:bCs w:val="0"/>
          <w:sz w:val="32"/>
          <w:szCs w:val="32"/>
          <w:lang w:val="en-US" w:eastAsia="zh-CN"/>
        </w:rPr>
        <w:t>为0的主体</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视为满足“同比增速高于20%”。</w:t>
      </w:r>
    </w:p>
    <w:p>
      <w:pPr>
        <w:numPr>
          <w:ilvl w:val="0"/>
          <w:numId w:val="0"/>
        </w:numPr>
        <w:spacing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lang w:val="en-US" w:eastAsia="zh-CN"/>
        </w:rPr>
        <w:t>（三）若资助金额计算结果为负数，</w:t>
      </w:r>
      <w:r>
        <w:rPr>
          <w:rFonts w:hint="eastAsia" w:ascii="仿宋_GB2312" w:hAnsi="仿宋_GB2312" w:eastAsia="仿宋_GB2312" w:cs="仿宋_GB2312"/>
          <w:b w:val="0"/>
          <w:bCs w:val="0"/>
          <w:sz w:val="32"/>
          <w:szCs w:val="32"/>
          <w:highlight w:val="none"/>
        </w:rPr>
        <w:t>该项资助金额按零计算。</w:t>
      </w:r>
    </w:p>
    <w:p>
      <w:pPr>
        <w:numPr>
          <w:ilvl w:val="0"/>
          <w:numId w:val="0"/>
        </w:num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（四）满足资助条件但资助金额不满</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000元的企业，</w:t>
      </w:r>
      <w:r>
        <w:rPr>
          <w:rFonts w:hint="eastAsia" w:ascii="仿宋_GB2312" w:hAnsi="黑体" w:eastAsia="仿宋_GB2312"/>
          <w:sz w:val="32"/>
          <w:szCs w:val="32"/>
          <w:lang w:val="en-US" w:eastAsia="zh-CN"/>
        </w:rPr>
        <w:t>不予</w:t>
      </w:r>
      <w:r>
        <w:rPr>
          <w:rFonts w:hint="eastAsia" w:ascii="仿宋_GB2312" w:hAnsi="黑体" w:eastAsia="仿宋_GB2312"/>
          <w:sz w:val="32"/>
          <w:szCs w:val="32"/>
        </w:rPr>
        <w:t>资助</w:t>
      </w:r>
      <w:r>
        <w:rPr>
          <w:rFonts w:hint="eastAsia" w:ascii="仿宋_GB2312" w:hAnsi="黑体" w:eastAsia="仿宋_GB2312"/>
          <w:sz w:val="32"/>
          <w:szCs w:val="32"/>
          <w:lang w:eastAsia="zh-CN"/>
        </w:rPr>
        <w:t>。</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黑体" w:eastAsia="仿宋_GB2312"/>
          <w:b w:val="0"/>
          <w:bCs w:val="0"/>
          <w:sz w:val="32"/>
          <w:szCs w:val="32"/>
          <w:lang w:val="en-US" w:eastAsia="zh-CN"/>
        </w:rPr>
        <w:t>（五）本项目所提到的“上半年”均指1-5月</w:t>
      </w:r>
      <w:r>
        <w:rPr>
          <w:rFonts w:hint="eastAsia" w:ascii="仿宋_GB2312" w:hAnsi="仿宋_GB2312" w:eastAsia="仿宋_GB2312" w:cs="仿宋_GB2312"/>
          <w:b w:val="0"/>
          <w:bCs w:val="0"/>
          <w:sz w:val="32"/>
          <w:szCs w:val="32"/>
          <w:lang w:eastAsia="zh-CN"/>
        </w:rPr>
        <w:t>。</w:t>
      </w:r>
    </w:p>
    <w:p>
      <w:pPr>
        <w:numPr>
          <w:ilvl w:val="0"/>
          <w:numId w:val="0"/>
        </w:numPr>
        <w:spacing w:line="560" w:lineRule="exact"/>
        <w:ind w:firstLine="640" w:firstLineChars="200"/>
        <w:rPr>
          <w:rFonts w:hint="eastAsia" w:ascii="仿宋_GB2312" w:hAnsi="黑体" w:eastAsia="仿宋_GB2312"/>
          <w:b w:val="0"/>
          <w:bCs w:val="0"/>
          <w:sz w:val="32"/>
          <w:szCs w:val="32"/>
          <w:lang w:val="en-US" w:eastAsia="zh-CN"/>
        </w:rPr>
      </w:pPr>
      <w:r>
        <w:rPr>
          <w:rFonts w:hint="eastAsia" w:ascii="仿宋_GB2312" w:hAnsi="黑体" w:eastAsia="仿宋_GB2312"/>
          <w:b w:val="0"/>
          <w:bCs w:val="0"/>
          <w:sz w:val="32"/>
          <w:szCs w:val="32"/>
          <w:lang w:val="en-US" w:eastAsia="zh-CN"/>
        </w:rPr>
        <w:t>（六）本项目实行总量控制。</w:t>
      </w:r>
    </w:p>
    <w:p>
      <w:pPr>
        <w:widowControl/>
        <w:spacing w:line="600" w:lineRule="exact"/>
        <w:ind w:firstLine="537" w:firstLineChars="168"/>
        <w:outlineLvl w:val="0"/>
        <w:rPr>
          <w:rFonts w:hAnsi="黑体" w:eastAsia="黑体"/>
          <w:sz w:val="32"/>
          <w:szCs w:val="32"/>
        </w:rPr>
      </w:pPr>
      <w:r>
        <w:rPr>
          <w:rFonts w:hint="eastAsia" w:hAnsi="黑体" w:eastAsia="黑体"/>
          <w:sz w:val="32"/>
          <w:szCs w:val="32"/>
        </w:rPr>
        <w:t>四、申请条件</w:t>
      </w:r>
    </w:p>
    <w:p>
      <w:pPr>
        <w:widowControl/>
        <w:spacing w:line="600" w:lineRule="exact"/>
        <w:ind w:firstLine="537" w:firstLineChars="168"/>
        <w:rPr>
          <w:rFonts w:hAnsi="仿宋" w:eastAsia="仿宋"/>
          <w:bCs/>
          <w:color w:val="000000"/>
          <w:sz w:val="32"/>
          <w:szCs w:val="32"/>
        </w:rPr>
      </w:pPr>
      <w:r>
        <w:rPr>
          <w:rFonts w:hint="eastAsia" w:hAnsi="仿宋" w:eastAsia="仿宋"/>
          <w:bCs/>
          <w:color w:val="000000"/>
          <w:sz w:val="32"/>
          <w:szCs w:val="32"/>
          <w:lang w:eastAsia="zh-CN"/>
        </w:rPr>
        <w:t>（一）</w:t>
      </w:r>
      <w:r>
        <w:rPr>
          <w:rFonts w:hint="eastAsia" w:hAnsi="仿宋" w:eastAsia="仿宋"/>
          <w:bCs/>
          <w:color w:val="000000"/>
          <w:sz w:val="32"/>
          <w:szCs w:val="32"/>
        </w:rPr>
        <w:t>申请本项资金资助的机构应符合以下基本条件：</w:t>
      </w:r>
    </w:p>
    <w:p>
      <w:pPr>
        <w:widowControl/>
        <w:spacing w:line="600" w:lineRule="exact"/>
        <w:ind w:firstLine="537" w:firstLineChars="168"/>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1、数据申报地在南山区的规上营利性服务业主体；</w:t>
      </w:r>
    </w:p>
    <w:p>
      <w:pPr>
        <w:widowControl/>
        <w:spacing w:line="600" w:lineRule="exact"/>
        <w:ind w:firstLine="537" w:firstLineChars="168"/>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2、履行统计数据申报义务、守法经营、诚实守信、有规范的财务管理制度；</w:t>
      </w:r>
    </w:p>
    <w:p>
      <w:pPr>
        <w:widowControl/>
        <w:spacing w:line="600" w:lineRule="exact"/>
        <w:ind w:firstLine="537" w:firstLineChars="168"/>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3、应积极配合区委、区政府相关工作。</w:t>
      </w:r>
    </w:p>
    <w:p>
      <w:pPr>
        <w:pStyle w:val="2"/>
        <w:keepNext w:val="0"/>
        <w:keepLines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（二）有下列情况之一的，本</w:t>
      </w:r>
      <w:r>
        <w:rPr>
          <w:rFonts w:hint="eastAsia" w:ascii="仿宋_GB2312" w:eastAsia="仿宋_GB2312"/>
          <w:sz w:val="32"/>
          <w:szCs w:val="32"/>
          <w:highlight w:val="none"/>
          <w:lang w:eastAsia="zh-CN"/>
        </w:rPr>
        <w:t>项目</w:t>
      </w:r>
      <w:r>
        <w:rPr>
          <w:rFonts w:hint="eastAsia" w:ascii="仿宋_GB2312" w:eastAsia="仿宋_GB2312"/>
          <w:sz w:val="32"/>
          <w:szCs w:val="32"/>
          <w:highlight w:val="none"/>
        </w:rPr>
        <w:t>资金不予资助：</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hAnsi="宋体" w:eastAsia="仿宋_GB2312"/>
          <w:sz w:val="32"/>
          <w:szCs w:val="32"/>
          <w:highlight w:val="none"/>
        </w:rPr>
      </w:pPr>
      <w:r>
        <w:rPr>
          <w:rFonts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、被依法依规纳入严重失信主体名单或失信惩戒措施清单的</w:t>
      </w:r>
      <w:r>
        <w:rPr>
          <w:rFonts w:hint="eastAsia" w:ascii="仿宋_GB2312" w:hAnsi="宋体" w:eastAsia="仿宋_GB2312"/>
          <w:sz w:val="32"/>
          <w:szCs w:val="32"/>
          <w:highlight w:val="none"/>
          <w:lang w:eastAsia="zh-CN"/>
        </w:rPr>
        <w:t>；</w:t>
      </w:r>
    </w:p>
    <w:p>
      <w:pPr>
        <w:adjustRightInd w:val="0"/>
        <w:snapToGrid w:val="0"/>
        <w:spacing w:line="560" w:lineRule="exact"/>
        <w:ind w:firstLine="640" w:firstLineChars="200"/>
        <w:outlineLvl w:val="9"/>
        <w:rPr>
          <w:rFonts w:ascii="Times New Roman" w:hAnsi="Times New Roman" w:eastAsia="仿宋_GB2312" w:cs="Times New Roman"/>
          <w:sz w:val="32"/>
          <w:szCs w:val="32"/>
        </w:rPr>
      </w:pPr>
      <w:r>
        <w:rPr>
          <w:rFonts w:ascii="仿宋_GB2312" w:hAnsi="宋体" w:eastAsia="仿宋_GB2312"/>
          <w:sz w:val="32"/>
          <w:szCs w:val="32"/>
          <w:highlight w:val="none"/>
        </w:rPr>
        <w:t>2</w:t>
      </w:r>
      <w:r>
        <w:rPr>
          <w:rFonts w:hint="eastAsia" w:ascii="仿宋_GB2312" w:hAnsi="宋体" w:eastAsia="仿宋_GB2312"/>
          <w:sz w:val="32"/>
          <w:szCs w:val="32"/>
          <w:highlight w:val="none"/>
          <w:lang w:val="en-US" w:eastAsia="zh-CN"/>
        </w:rPr>
        <w:t>、提出资助申请后，申报主体数据申报地发生变化，不再符合申报条件的。</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黑体" w:eastAsia="黑体"/>
          <w:sz w:val="32"/>
          <w:szCs w:val="32"/>
          <w:highlight w:val="none"/>
        </w:rPr>
      </w:pPr>
      <w:r>
        <w:rPr>
          <w:rFonts w:hint="eastAsia" w:ascii="黑体" w:eastAsia="黑体"/>
          <w:sz w:val="32"/>
          <w:szCs w:val="32"/>
          <w:highlight w:val="none"/>
        </w:rPr>
        <w:t>五、办理流程</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w:t>
      </w:r>
      <w:r>
        <w:rPr>
          <w:rFonts w:hint="eastAsia" w:ascii="仿宋_GB2312" w:eastAsia="仿宋_GB2312"/>
          <w:sz w:val="32"/>
          <w:szCs w:val="32"/>
          <w:highlight w:val="none"/>
          <w:lang w:eastAsia="zh-CN"/>
        </w:rPr>
        <w:t>登录“i南山企业服务综合平台”（https://www.inanshan.org.c</w:t>
      </w:r>
      <w:r>
        <w:rPr>
          <w:rFonts w:hint="eastAsia" w:ascii="仿宋_GB2312" w:hAnsi="Times New Roman" w:eastAsia="仿宋_GB2312" w:cs="Times New Roman"/>
          <w:sz w:val="32"/>
          <w:szCs w:val="32"/>
          <w:highlight w:val="none"/>
          <w:lang w:eastAsia="zh-CN"/>
        </w:rPr>
        <w:t>n/），在线填写《南山区促进产业高质量发展专项资金——区工业和信息化局分项资金</w:t>
      </w:r>
      <w:r>
        <w:rPr>
          <w:rFonts w:hint="eastAsia" w:ascii="仿宋_GB2312" w:eastAsia="仿宋_GB2312" w:cs="Times New Roman"/>
          <w:sz w:val="32"/>
          <w:szCs w:val="32"/>
          <w:highlight w:val="none"/>
          <w:lang w:val="en-US" w:eastAsia="zh-CN"/>
        </w:rPr>
        <w:t>-鼓励营利性服务业企业做大做强项目申请书</w:t>
      </w:r>
      <w:r>
        <w:rPr>
          <w:rFonts w:hint="eastAsia" w:ascii="仿宋_GB2312" w:eastAsia="仿宋_GB2312"/>
          <w:sz w:val="32"/>
          <w:szCs w:val="32"/>
          <w:highlight w:val="none"/>
          <w:lang w:eastAsia="zh-CN"/>
        </w:rPr>
        <w:t>》相关申报材料</w:t>
      </w:r>
      <w:r>
        <w:rPr>
          <w:rFonts w:hint="eastAsia" w:ascii="仿宋_GB2312" w:eastAsia="仿宋_GB2312" w:cs="Times New Roman"/>
          <w:color w:val="auto"/>
          <w:kern w:val="2"/>
          <w:sz w:val="32"/>
          <w:szCs w:val="32"/>
          <w:highlight w:val="none"/>
        </w:rPr>
        <w:t>；</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w:t>
      </w:r>
      <w:r>
        <w:rPr>
          <w:rFonts w:hint="eastAsia" w:ascii="仿宋_GB2312" w:eastAsia="仿宋_GB2312"/>
          <w:sz w:val="32"/>
          <w:szCs w:val="32"/>
          <w:highlight w:val="none"/>
          <w:lang w:eastAsia="zh-CN"/>
        </w:rPr>
        <w:t>区企业发展服务中心受理</w:t>
      </w:r>
      <w:r>
        <w:rPr>
          <w:rFonts w:hint="eastAsia" w:ascii="仿宋_GB2312" w:eastAsia="仿宋_GB2312"/>
          <w:kern w:val="2"/>
          <w:sz w:val="32"/>
          <w:szCs w:val="32"/>
          <w:highlight w:val="none"/>
          <w:lang w:eastAsia="zh-CN"/>
        </w:rPr>
        <w:t>申请，对申报材料进行形式性审核</w:t>
      </w:r>
      <w:r>
        <w:rPr>
          <w:rFonts w:hint="eastAsia" w:ascii="仿宋_GB2312" w:eastAsia="仿宋_GB2312"/>
          <w:sz w:val="32"/>
          <w:szCs w:val="32"/>
          <w:highlight w:val="none"/>
          <w:lang w:eastAsia="zh-CN"/>
        </w:rPr>
        <w:t>，区</w:t>
      </w:r>
      <w:r>
        <w:rPr>
          <w:rFonts w:hint="eastAsia" w:ascii="仿宋_GB2312" w:eastAsia="仿宋_GB2312"/>
          <w:sz w:val="32"/>
          <w:szCs w:val="32"/>
          <w:highlight w:val="none"/>
          <w:lang w:val="en-US" w:eastAsia="zh-CN"/>
        </w:rPr>
        <w:t>工业和信息化</w:t>
      </w:r>
      <w:r>
        <w:rPr>
          <w:rFonts w:hint="eastAsia" w:ascii="仿宋_GB2312" w:eastAsia="仿宋_GB2312"/>
          <w:sz w:val="32"/>
          <w:szCs w:val="32"/>
          <w:highlight w:val="none"/>
          <w:lang w:eastAsia="zh-CN"/>
        </w:rPr>
        <w:t>局对头部</w:t>
      </w:r>
      <w:r>
        <w:rPr>
          <w:rFonts w:hint="eastAsia" w:ascii="仿宋_GB2312" w:hAnsi="黑体" w:eastAsia="仿宋_GB2312"/>
          <w:sz w:val="32"/>
          <w:szCs w:val="32"/>
        </w:rPr>
        <w:t>规上</w:t>
      </w:r>
      <w:r>
        <w:rPr>
          <w:rFonts w:hint="eastAsia" w:ascii="仿宋_GB2312" w:hAnsi="黑体" w:eastAsia="仿宋_GB2312"/>
          <w:sz w:val="32"/>
          <w:szCs w:val="32"/>
          <w:lang w:eastAsia="zh-CN"/>
        </w:rPr>
        <w:t>营利性服务业</w:t>
      </w:r>
      <w:r>
        <w:rPr>
          <w:rFonts w:hint="eastAsia" w:ascii="仿宋_GB2312" w:hAnsi="黑体" w:eastAsia="仿宋_GB2312"/>
          <w:sz w:val="32"/>
          <w:szCs w:val="32"/>
        </w:rPr>
        <w:t>企业</w:t>
      </w:r>
      <w:r>
        <w:rPr>
          <w:rFonts w:hint="eastAsia" w:ascii="仿宋_GB2312" w:eastAsia="仿宋_GB2312"/>
          <w:sz w:val="32"/>
          <w:szCs w:val="32"/>
          <w:highlight w:val="none"/>
          <w:lang w:eastAsia="zh-CN"/>
        </w:rPr>
        <w:t>项目申报材料进行初审，各街道办按街道统计关系对剩下</w:t>
      </w:r>
      <w:r>
        <w:rPr>
          <w:rFonts w:hint="eastAsia" w:ascii="仿宋_GB2312" w:hAnsi="黑体" w:eastAsia="仿宋_GB2312"/>
          <w:sz w:val="32"/>
          <w:szCs w:val="32"/>
        </w:rPr>
        <w:t>规上</w:t>
      </w:r>
      <w:r>
        <w:rPr>
          <w:rFonts w:hint="eastAsia" w:ascii="仿宋_GB2312" w:hAnsi="黑体" w:eastAsia="仿宋_GB2312"/>
          <w:sz w:val="32"/>
          <w:szCs w:val="32"/>
          <w:lang w:eastAsia="zh-CN"/>
        </w:rPr>
        <w:t>营利性服务业</w:t>
      </w:r>
      <w:r>
        <w:rPr>
          <w:rFonts w:hint="eastAsia" w:ascii="仿宋_GB2312" w:hAnsi="黑体" w:eastAsia="仿宋_GB2312"/>
          <w:sz w:val="32"/>
          <w:szCs w:val="32"/>
        </w:rPr>
        <w:t>企业</w:t>
      </w:r>
      <w:r>
        <w:rPr>
          <w:rFonts w:hint="eastAsia" w:ascii="仿宋_GB2312" w:eastAsia="仿宋_GB2312"/>
          <w:sz w:val="32"/>
          <w:szCs w:val="32"/>
          <w:highlight w:val="none"/>
          <w:lang w:eastAsia="zh-CN"/>
        </w:rPr>
        <w:t>项目申报材料进行初审，区工业和信息化局对所有申请项目的</w:t>
      </w:r>
      <w:r>
        <w:rPr>
          <w:rFonts w:hint="eastAsia" w:ascii="仿宋_GB2312" w:hAnsi="黑体" w:eastAsia="仿宋_GB2312"/>
          <w:sz w:val="32"/>
          <w:szCs w:val="32"/>
        </w:rPr>
        <w:t>规上</w:t>
      </w:r>
      <w:r>
        <w:rPr>
          <w:rFonts w:hint="eastAsia" w:ascii="仿宋_GB2312" w:hAnsi="黑体" w:eastAsia="仿宋_GB2312"/>
          <w:sz w:val="32"/>
          <w:szCs w:val="32"/>
          <w:lang w:eastAsia="zh-CN"/>
        </w:rPr>
        <w:t>营利性服务业</w:t>
      </w:r>
      <w:r>
        <w:rPr>
          <w:rFonts w:hint="eastAsia" w:ascii="仿宋_GB2312" w:eastAsia="仿宋_GB2312"/>
          <w:sz w:val="32"/>
          <w:szCs w:val="32"/>
          <w:highlight w:val="none"/>
          <w:lang w:eastAsia="zh-CN"/>
        </w:rPr>
        <w:t>企业申报材料进行复审；</w:t>
      </w:r>
    </w:p>
    <w:p>
      <w:pPr>
        <w:keepNext w:val="0"/>
        <w:keepLines w:val="0"/>
        <w:pageBreakBefore w:val="0"/>
        <w:widowControl/>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eastAsia" w:ascii="仿宋_GB2312" w:eastAsia="仿宋_GB2312"/>
          <w:sz w:val="32"/>
          <w:szCs w:val="32"/>
          <w:highlight w:val="none"/>
          <w:lang w:eastAsia="zh-CN"/>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三</w:t>
      </w:r>
      <w:r>
        <w:rPr>
          <w:rFonts w:hint="eastAsia" w:ascii="仿宋_GB2312" w:hAnsi="宋体" w:eastAsia="仿宋_GB2312"/>
          <w:color w:val="auto"/>
          <w:sz w:val="32"/>
          <w:szCs w:val="32"/>
          <w:highlight w:val="none"/>
        </w:rPr>
        <w:t>）</w:t>
      </w:r>
      <w:r>
        <w:rPr>
          <w:rFonts w:hint="eastAsia" w:ascii="仿宋_GB2312" w:eastAsia="仿宋_GB2312" w:cs="Times New Roman"/>
          <w:color w:val="auto"/>
          <w:kern w:val="2"/>
          <w:sz w:val="32"/>
          <w:szCs w:val="32"/>
          <w:highlight w:val="none"/>
          <w:lang w:val="en-US" w:eastAsia="zh-CN"/>
        </w:rPr>
        <w:t>区工业和信息化局对受理项目拟定资助计划；</w:t>
      </w:r>
    </w:p>
    <w:p>
      <w:pPr>
        <w:keepNext w:val="0"/>
        <w:keepLines w:val="0"/>
        <w:pageBreakBefore w:val="0"/>
        <w:widowControl/>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四</w:t>
      </w:r>
      <w:r>
        <w:rPr>
          <w:rFonts w:hint="eastAsia" w:ascii="仿宋_GB2312" w:hAnsi="宋体" w:eastAsia="仿宋_GB2312"/>
          <w:color w:val="auto"/>
          <w:sz w:val="32"/>
          <w:szCs w:val="32"/>
          <w:highlight w:val="none"/>
        </w:rPr>
        <w:t>）</w:t>
      </w:r>
      <w:r>
        <w:rPr>
          <w:rFonts w:hint="eastAsia" w:ascii="仿宋_GB2312" w:eastAsia="仿宋_GB2312"/>
          <w:sz w:val="32"/>
          <w:szCs w:val="32"/>
          <w:highlight w:val="none"/>
          <w:lang w:eastAsia="zh-CN"/>
        </w:rPr>
        <w:t>区统计局对申报主体在地统计开展情况进行核查，</w:t>
      </w:r>
      <w:r>
        <w:rPr>
          <w:rFonts w:ascii="仿宋_GB2312" w:eastAsia="仿宋_GB2312"/>
          <w:sz w:val="32"/>
          <w:szCs w:val="32"/>
          <w:highlight w:val="none"/>
          <w:lang w:eastAsia="zh-CN"/>
        </w:rPr>
        <w:t>区企业发展服务中心组织对申报</w:t>
      </w:r>
      <w:r>
        <w:rPr>
          <w:rFonts w:hint="eastAsia" w:ascii="仿宋_GB2312" w:eastAsia="仿宋_GB2312"/>
          <w:sz w:val="32"/>
          <w:szCs w:val="32"/>
          <w:highlight w:val="none"/>
          <w:lang w:eastAsia="zh-CN"/>
        </w:rPr>
        <w:t>主体</w:t>
      </w:r>
      <w:r>
        <w:rPr>
          <w:rFonts w:ascii="仿宋_GB2312" w:eastAsia="仿宋_GB2312"/>
          <w:sz w:val="32"/>
          <w:szCs w:val="32"/>
          <w:highlight w:val="none"/>
          <w:lang w:eastAsia="zh-CN"/>
        </w:rPr>
        <w:t>的不良信用记录等情况进行核查</w:t>
      </w:r>
      <w:r>
        <w:rPr>
          <w:rFonts w:hint="eastAsia" w:ascii="仿宋_GB2312" w:eastAsia="仿宋_GB2312"/>
          <w:sz w:val="32"/>
          <w:szCs w:val="32"/>
          <w:highlight w:val="none"/>
          <w:lang w:eastAsia="zh-CN"/>
        </w:rPr>
        <w:t>；</w:t>
      </w:r>
    </w:p>
    <w:p>
      <w:pPr>
        <w:keepNext w:val="0"/>
        <w:keepLines w:val="0"/>
        <w:pageBreakBefore w:val="0"/>
        <w:widowControl/>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五</w:t>
      </w:r>
      <w:r>
        <w:rPr>
          <w:rFonts w:hint="eastAsia" w:ascii="仿宋_GB2312" w:hAnsi="宋体" w:eastAsia="仿宋_GB2312"/>
          <w:color w:val="auto"/>
          <w:sz w:val="32"/>
          <w:szCs w:val="32"/>
          <w:highlight w:val="none"/>
        </w:rPr>
        <w:t>）</w:t>
      </w:r>
      <w:r>
        <w:rPr>
          <w:rFonts w:hint="eastAsia" w:ascii="仿宋_GB2312" w:hAnsi="仿宋_GB2312" w:eastAsia="仿宋_GB2312" w:cs="仿宋_GB2312"/>
          <w:sz w:val="32"/>
          <w:szCs w:val="32"/>
          <w:highlight w:val="none"/>
          <w:lang w:eastAsia="zh-CN"/>
        </w:rPr>
        <w:t>区企业</w:t>
      </w:r>
      <w:r>
        <w:rPr>
          <w:rFonts w:hint="eastAsia" w:ascii="仿宋_GB2312" w:eastAsia="仿宋_GB2312"/>
          <w:sz w:val="32"/>
          <w:szCs w:val="32"/>
          <w:highlight w:val="none"/>
          <w:lang w:eastAsia="zh-CN"/>
        </w:rPr>
        <w:t>发展</w:t>
      </w:r>
      <w:r>
        <w:rPr>
          <w:rFonts w:hint="eastAsia" w:ascii="仿宋_GB2312" w:hAnsi="仿宋_GB2312" w:eastAsia="仿宋_GB2312" w:cs="仿宋_GB2312"/>
          <w:sz w:val="32"/>
          <w:szCs w:val="32"/>
          <w:highlight w:val="none"/>
          <w:lang w:eastAsia="zh-CN"/>
        </w:rPr>
        <w:t>服务中心将拟资助项目向社会公示5个工作日，</w:t>
      </w:r>
      <w:r>
        <w:rPr>
          <w:rFonts w:hint="eastAsia" w:ascii="仿宋_GB2312" w:hAnsi="宋体" w:eastAsia="仿宋_GB2312"/>
          <w:sz w:val="32"/>
          <w:szCs w:val="32"/>
          <w:highlight w:val="none"/>
          <w:lang w:eastAsia="zh-CN"/>
        </w:rPr>
        <w:t>对公示期满，无有效投诉的项目资助计划，区工业和信息化局统一对</w:t>
      </w:r>
      <w:r>
        <w:rPr>
          <w:rFonts w:hint="eastAsia" w:ascii="仿宋_GB2312" w:eastAsia="仿宋_GB2312"/>
          <w:sz w:val="32"/>
          <w:szCs w:val="32"/>
          <w:highlight w:val="none"/>
          <w:lang w:eastAsia="zh-CN"/>
        </w:rPr>
        <w:t>本项目</w:t>
      </w:r>
      <w:r>
        <w:rPr>
          <w:rFonts w:hint="eastAsia" w:ascii="仿宋_GB2312" w:hAnsi="宋体" w:eastAsia="仿宋_GB2312"/>
          <w:sz w:val="32"/>
          <w:szCs w:val="32"/>
          <w:highlight w:val="none"/>
          <w:lang w:eastAsia="zh-CN"/>
        </w:rPr>
        <w:t>按照相应审核程序提交区促进产业高质量发展专项资金领导小组会议审议</w:t>
      </w:r>
      <w:r>
        <w:rPr>
          <w:rFonts w:hint="eastAsia" w:ascii="仿宋_GB2312" w:eastAsia="仿宋_GB2312"/>
          <w:sz w:val="32"/>
          <w:szCs w:val="32"/>
          <w:highlight w:val="none"/>
          <w:lang w:eastAsia="zh-CN"/>
        </w:rPr>
        <w:t>；</w:t>
      </w:r>
    </w:p>
    <w:p>
      <w:pPr>
        <w:keepNext w:val="0"/>
        <w:keepLines w:val="0"/>
        <w:pageBreakBefore w:val="0"/>
        <w:widowControl/>
        <w:kinsoku/>
        <w:wordWrap/>
        <w:overflowPunct/>
        <w:topLinePunct w:val="0"/>
        <w:autoSpaceDE/>
        <w:autoSpaceDN/>
        <w:bidi w:val="0"/>
        <w:spacing w:before="0" w:after="0" w:line="560" w:lineRule="exact"/>
        <w:ind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六</w:t>
      </w:r>
      <w:r>
        <w:rPr>
          <w:rFonts w:hint="eastAsia" w:ascii="仿宋_GB2312" w:hAnsi="宋体" w:eastAsia="仿宋_GB2312"/>
          <w:color w:val="auto"/>
          <w:sz w:val="32"/>
          <w:szCs w:val="32"/>
          <w:highlight w:val="none"/>
        </w:rPr>
        <w:t>）</w:t>
      </w:r>
      <w:r>
        <w:rPr>
          <w:rFonts w:hint="eastAsia" w:ascii="仿宋_GB2312" w:eastAsia="仿宋_GB2312"/>
          <w:sz w:val="32"/>
          <w:szCs w:val="32"/>
          <w:highlight w:val="none"/>
          <w:lang w:eastAsia="zh-CN"/>
        </w:rPr>
        <w:t>经审议后，由区</w:t>
      </w:r>
      <w:r>
        <w:rPr>
          <w:rFonts w:hint="eastAsia" w:ascii="仿宋_GB2312" w:eastAsia="仿宋_GB2312"/>
          <w:sz w:val="32"/>
          <w:szCs w:val="32"/>
          <w:highlight w:val="none"/>
          <w:lang w:val="en-US" w:eastAsia="zh-CN"/>
        </w:rPr>
        <w:t>工业和信息化局</w:t>
      </w:r>
      <w:r>
        <w:rPr>
          <w:rFonts w:hint="eastAsia" w:ascii="仿宋_GB2312" w:eastAsia="仿宋_GB2312"/>
          <w:sz w:val="32"/>
          <w:szCs w:val="32"/>
          <w:highlight w:val="none"/>
          <w:lang w:eastAsia="zh-CN"/>
        </w:rPr>
        <w:t>对受理项目下达资金计划；</w:t>
      </w:r>
    </w:p>
    <w:p>
      <w:pPr>
        <w:widowControl/>
        <w:spacing w:line="560" w:lineRule="exact"/>
        <w:ind w:firstLine="640" w:firstLineChars="200"/>
        <w:outlineLvl w:val="9"/>
        <w:rPr>
          <w:rFonts w:ascii="仿宋_GB2312" w:hAnsi="宋体" w:eastAsia="仿宋_GB2312"/>
          <w:sz w:val="32"/>
          <w:szCs w:val="32"/>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七</w:t>
      </w:r>
      <w:r>
        <w:rPr>
          <w:rFonts w:hint="eastAsia" w:ascii="仿宋_GB2312" w:hAnsi="宋体" w:eastAsia="仿宋_GB2312"/>
          <w:color w:val="auto"/>
          <w:sz w:val="32"/>
          <w:szCs w:val="32"/>
          <w:highlight w:val="none"/>
        </w:rPr>
        <w:t>）</w:t>
      </w:r>
      <w:r>
        <w:rPr>
          <w:rFonts w:hint="eastAsia" w:ascii="仿宋_GB2312" w:hAnsi="宋体" w:eastAsia="仿宋_GB2312"/>
          <w:sz w:val="32"/>
          <w:szCs w:val="32"/>
          <w:highlight w:val="none"/>
          <w:lang w:eastAsia="zh-CN"/>
        </w:rPr>
        <w:t>区财政部门及时安排资金，区</w:t>
      </w:r>
      <w:r>
        <w:rPr>
          <w:rFonts w:hint="eastAsia" w:ascii="仿宋_GB2312" w:hAnsi="宋体" w:eastAsia="仿宋_GB2312"/>
          <w:sz w:val="32"/>
          <w:szCs w:val="32"/>
          <w:highlight w:val="none"/>
          <w:lang w:val="en-US" w:eastAsia="zh-CN"/>
        </w:rPr>
        <w:t>工业和信息化局</w:t>
      </w:r>
      <w:r>
        <w:rPr>
          <w:rFonts w:hint="eastAsia" w:ascii="仿宋_GB2312" w:eastAsia="仿宋_GB2312"/>
          <w:sz w:val="32"/>
          <w:szCs w:val="32"/>
          <w:highlight w:val="none"/>
          <w:lang w:eastAsia="zh-CN"/>
        </w:rPr>
        <w:t>对受理项目</w:t>
      </w:r>
      <w:r>
        <w:rPr>
          <w:rFonts w:hint="eastAsia" w:ascii="仿宋_GB2312" w:hAnsi="宋体" w:eastAsia="仿宋_GB2312"/>
          <w:sz w:val="32"/>
          <w:szCs w:val="32"/>
          <w:highlight w:val="none"/>
          <w:lang w:eastAsia="zh-CN"/>
        </w:rPr>
        <w:t>办理资金拨付手续</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六、所需材料</w:t>
      </w:r>
    </w:p>
    <w:p>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Hans" w:bidi="ar-SA"/>
        </w:rPr>
        <w:t>（一）</w:t>
      </w:r>
      <w:r>
        <w:rPr>
          <w:rFonts w:hint="eastAsia" w:ascii="仿宋_GB2312" w:eastAsia="仿宋_GB2312"/>
          <w:sz w:val="32"/>
          <w:szCs w:val="32"/>
          <w:highlight w:val="none"/>
        </w:rPr>
        <w:t>《项目申请书》（</w:t>
      </w:r>
      <w:r>
        <w:rPr>
          <w:rFonts w:hint="eastAsia" w:ascii="仿宋_GB2312" w:hAnsi="仿宋_GB2312" w:eastAsia="仿宋_GB2312" w:cs="仿宋_GB2312"/>
          <w:kern w:val="0"/>
          <w:sz w:val="32"/>
          <w:szCs w:val="32"/>
          <w:highlight w:val="none"/>
          <w:lang w:val="en-US" w:eastAsia="zh-CN"/>
        </w:rPr>
        <w:t>登录“</w:t>
      </w:r>
      <w:r>
        <w:rPr>
          <w:rFonts w:hint="eastAsia" w:ascii="仿宋_GB2312" w:eastAsia="仿宋_GB2312"/>
          <w:sz w:val="32"/>
          <w:szCs w:val="32"/>
          <w:highlight w:val="none"/>
          <w:lang w:eastAsia="zh-CN"/>
        </w:rPr>
        <w:t>i南山企业服务综合平台”https://www.inanshan.org.c</w:t>
      </w:r>
      <w:r>
        <w:rPr>
          <w:rFonts w:hint="eastAsia" w:ascii="仿宋_GB2312" w:hAnsi="Times New Roman" w:eastAsia="仿宋_GB2312" w:cs="Times New Roman"/>
          <w:sz w:val="32"/>
          <w:szCs w:val="32"/>
          <w:highlight w:val="none"/>
          <w:lang w:eastAsia="zh-CN"/>
        </w:rPr>
        <w:t>n/</w:t>
      </w:r>
      <w:r>
        <w:rPr>
          <w:rFonts w:hint="eastAsia" w:ascii="仿宋_GB2312" w:hAnsi="仿宋_GB2312" w:eastAsia="仿宋_GB2312" w:cs="仿宋_GB2312"/>
          <w:kern w:val="0"/>
          <w:sz w:val="32"/>
          <w:szCs w:val="32"/>
          <w:highlight w:val="none"/>
          <w:lang w:val="en-US" w:eastAsia="zh-CN"/>
        </w:rPr>
        <w:t>在线填写，</w:t>
      </w:r>
      <w:r>
        <w:rPr>
          <w:rFonts w:hint="eastAsia" w:ascii="仿宋_GB2312" w:hAnsi="仿宋_GB2312" w:eastAsia="仿宋_GB2312" w:cs="仿宋_GB2312"/>
          <w:sz w:val="32"/>
          <w:szCs w:val="32"/>
          <w:highlight w:val="none"/>
          <w:lang w:eastAsia="zh-CN"/>
        </w:rPr>
        <w:t>法定代表人签字并加盖单位公章后，原件彩色扫描成PDF文件上传</w:t>
      </w:r>
      <w:r>
        <w:rPr>
          <w:rFonts w:hint="eastAsia" w:ascii="仿宋_GB2312" w:eastAsia="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（二）</w:t>
      </w:r>
      <w:r>
        <w:rPr>
          <w:rFonts w:hint="eastAsia" w:ascii="仿宋_GB2312" w:hAnsi="宋体" w:eastAsia="仿宋_GB2312" w:cs="宋体"/>
          <w:sz w:val="32"/>
          <w:szCs w:val="32"/>
          <w:highlight w:val="none"/>
        </w:rPr>
        <w:t>统一社会信用代码证书（原件彩色扫描成PDF文件上传）</w:t>
      </w:r>
      <w:r>
        <w:rPr>
          <w:rFonts w:hint="eastAsia" w:ascii="仿宋_GB2312" w:eastAsia="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（三）</w:t>
      </w:r>
      <w:r>
        <w:rPr>
          <w:rFonts w:hint="eastAsia" w:ascii="仿宋_GB2312" w:hAnsi="宋体" w:eastAsia="仿宋_GB2312" w:cs="宋体"/>
          <w:sz w:val="32"/>
          <w:szCs w:val="32"/>
          <w:lang w:eastAsia="zh-CN"/>
        </w:rPr>
        <w:t>法定代表人身份证[原件（或复印件加盖单位公章）彩色扫描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eastAsia="仿宋_GB2312"/>
          <w:sz w:val="32"/>
          <w:szCs w:val="32"/>
          <w:highlight w:val="none"/>
        </w:rPr>
        <w:t>；</w:t>
      </w:r>
    </w:p>
    <w:p>
      <w:pPr>
        <w:pStyle w:val="2"/>
        <w:rPr>
          <w:rFonts w:hint="default" w:eastAsia="仿宋_GB2312"/>
          <w:lang w:val="en-US" w:eastAsia="zh-CN"/>
        </w:rPr>
      </w:pPr>
      <w:r>
        <w:rPr>
          <w:rFonts w:hint="eastAsia" w:ascii="仿宋_GB2312"/>
          <w:sz w:val="32"/>
          <w:szCs w:val="32"/>
          <w:highlight w:val="none"/>
          <w:lang w:val="en-US" w:eastAsia="zh-CN"/>
        </w:rPr>
        <w:t xml:space="preserve">  （四）申报主体由税务部门开具的单位上年度纳税证明（上传税务系统下载带有税务机关红色印章的电子版，事业单位除外)；</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w:t>
      </w:r>
      <w:r>
        <w:rPr>
          <w:rFonts w:hint="eastAsia" w:ascii="仿宋_GB2312" w:hAnsi="宋体" w:cs="宋体"/>
          <w:kern w:val="2"/>
          <w:sz w:val="32"/>
          <w:szCs w:val="32"/>
          <w:lang w:val="en-US" w:eastAsia="zh-CN" w:bidi="ar-SA"/>
        </w:rPr>
        <w:t>五</w:t>
      </w:r>
      <w:r>
        <w:rPr>
          <w:rFonts w:hint="eastAsia" w:ascii="仿宋_GB2312" w:hAnsi="宋体" w:eastAsia="仿宋_GB2312" w:cs="宋体"/>
          <w:kern w:val="2"/>
          <w:sz w:val="32"/>
          <w:szCs w:val="32"/>
          <w:lang w:val="en-US" w:eastAsia="zh-CN" w:bidi="ar-SA"/>
        </w:rPr>
        <w:t>）</w:t>
      </w:r>
      <w:r>
        <w:rPr>
          <w:rFonts w:hint="eastAsia" w:ascii="仿宋_GB2312" w:hAnsi="宋体" w:cs="宋体"/>
          <w:kern w:val="2"/>
          <w:sz w:val="32"/>
          <w:szCs w:val="32"/>
          <w:lang w:val="en-US" w:eastAsia="zh-CN" w:bidi="ar-SA"/>
        </w:rPr>
        <w:t>提交</w:t>
      </w:r>
      <w:r>
        <w:rPr>
          <w:rFonts w:hint="eastAsia" w:ascii="仿宋_GB2312" w:hAnsi="宋体" w:eastAsia="仿宋_GB2312" w:cs="宋体"/>
          <w:kern w:val="2"/>
          <w:sz w:val="32"/>
          <w:szCs w:val="32"/>
          <w:lang w:val="en-US" w:eastAsia="zh-CN" w:bidi="ar-SA"/>
        </w:rPr>
        <w:t>202</w:t>
      </w:r>
      <w:r>
        <w:rPr>
          <w:rFonts w:hint="eastAsia" w:ascii="仿宋_GB2312" w:hAnsi="宋体" w:cs="宋体"/>
          <w:kern w:val="2"/>
          <w:sz w:val="32"/>
          <w:szCs w:val="32"/>
          <w:lang w:val="en-US" w:eastAsia="zh-CN" w:bidi="ar-SA"/>
        </w:rPr>
        <w:t>5</w:t>
      </w:r>
      <w:r>
        <w:rPr>
          <w:rFonts w:hint="eastAsia" w:ascii="仿宋_GB2312" w:hAnsi="宋体" w:eastAsia="仿宋_GB2312" w:cs="宋体"/>
          <w:kern w:val="2"/>
          <w:sz w:val="32"/>
          <w:szCs w:val="32"/>
          <w:lang w:val="en-US" w:eastAsia="zh-CN" w:bidi="ar-SA"/>
        </w:rPr>
        <w:t>年1-5月财务状况表及调查单位基本情况表</w:t>
      </w:r>
      <w:r>
        <w:rPr>
          <w:rFonts w:hint="eastAsia" w:ascii="仿宋_GB2312" w:hAnsi="宋体" w:cs="宋体"/>
          <w:kern w:val="2"/>
          <w:sz w:val="32"/>
          <w:szCs w:val="32"/>
          <w:lang w:val="en-US" w:eastAsia="zh-CN" w:bidi="ar-SA"/>
        </w:rPr>
        <w:t>；</w:t>
      </w:r>
      <w:r>
        <w:rPr>
          <w:rFonts w:hint="eastAsia" w:ascii="仿宋_GB2312" w:hAnsi="宋体" w:eastAsia="仿宋_GB2312" w:cs="宋体"/>
          <w:kern w:val="2"/>
          <w:sz w:val="32"/>
          <w:szCs w:val="32"/>
          <w:lang w:val="en-US" w:eastAsia="zh-CN" w:bidi="ar-SA"/>
        </w:rPr>
        <w:t>[</w:t>
      </w:r>
      <w:r>
        <w:rPr>
          <w:rFonts w:hint="default" w:ascii="仿宋_GB2312" w:hAnsi="宋体" w:eastAsia="仿宋_GB2312" w:cs="宋体"/>
          <w:kern w:val="2"/>
          <w:sz w:val="32"/>
          <w:szCs w:val="32"/>
          <w:lang w:val="en-US" w:eastAsia="zh-CN" w:bidi="ar-SA"/>
        </w:rPr>
        <w:t>“</w:t>
      </w:r>
      <w:r>
        <w:rPr>
          <w:rFonts w:hint="eastAsia" w:ascii="仿宋_GB2312" w:hAnsi="宋体" w:eastAsia="仿宋_GB2312" w:cs="宋体"/>
          <w:kern w:val="2"/>
          <w:sz w:val="32"/>
          <w:szCs w:val="32"/>
          <w:lang w:val="en-US" w:eastAsia="zh-CN" w:bidi="ar-SA"/>
        </w:rPr>
        <w:t>统计云平台联网直报系统”下载，原件（或复印件加盖单位公章）彩色扫描成PDF文件上传]；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（六）其他与项目有关的说明材料。</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10" w:firstLineChars="200"/>
        <w:contextualSpacing/>
        <w:textAlignment w:val="auto"/>
        <w:outlineLvl w:val="9"/>
        <w:rPr>
          <w:rFonts w:hint="eastAsia" w:ascii="仿宋_GB2312" w:eastAsia="仿宋_GB2312"/>
          <w:b/>
          <w:bCs/>
          <w:color w:val="000000"/>
          <w:w w:val="95"/>
          <w:sz w:val="32"/>
          <w:szCs w:val="32"/>
          <w:highlight w:val="none"/>
        </w:rPr>
      </w:pPr>
      <w:r>
        <w:rPr>
          <w:rFonts w:hint="eastAsia" w:ascii="仿宋_GB2312" w:eastAsia="仿宋_GB2312"/>
          <w:b/>
          <w:bCs/>
          <w:color w:val="000000"/>
          <w:w w:val="95"/>
          <w:sz w:val="32"/>
          <w:szCs w:val="32"/>
          <w:highlight w:val="none"/>
        </w:rPr>
        <w:t>备注：本项目无需提交纸质件</w:t>
      </w:r>
    </w:p>
    <w:p>
      <w:pPr>
        <w:pStyle w:val="6"/>
        <w:shd w:val="clear" w:color="auto" w:fill="FFFFFF"/>
        <w:spacing w:before="0" w:beforeAutospacing="0" w:after="0" w:afterAutospacing="0" w:line="560" w:lineRule="exact"/>
        <w:ind w:firstLine="645"/>
        <w:jc w:val="both"/>
        <w:rPr>
          <w:rFonts w:ascii="Times New Roman" w:hAnsi="Times New Roman" w:eastAsia="黑体" w:cs="Times New Roman"/>
          <w:kern w:val="2"/>
          <w:sz w:val="32"/>
          <w:szCs w:val="32"/>
        </w:rPr>
      </w:pPr>
      <w:r>
        <w:rPr>
          <w:rFonts w:hint="eastAsia" w:ascii="Times New Roman" w:hAnsi="黑体" w:eastAsia="黑体" w:cs="Times New Roman"/>
          <w:kern w:val="2"/>
          <w:sz w:val="32"/>
          <w:szCs w:val="32"/>
        </w:rPr>
        <w:t>七、时限要求</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区工业和信息化局</w:t>
      </w:r>
      <w:r>
        <w:rPr>
          <w:rFonts w:hint="eastAsia" w:ascii="仿宋_GB2312" w:hAnsi="仿宋_GB2312" w:eastAsia="仿宋_GB2312" w:cs="仿宋_GB2312"/>
          <w:sz w:val="32"/>
          <w:szCs w:val="32"/>
          <w:lang w:eastAsia="zh-CN"/>
        </w:rPr>
        <w:t>、各街道办</w:t>
      </w:r>
      <w:r>
        <w:rPr>
          <w:rFonts w:hint="eastAsia" w:ascii="仿宋_GB2312" w:hAnsi="仿宋_GB2312" w:eastAsia="仿宋_GB2312" w:cs="仿宋_GB2312"/>
          <w:sz w:val="32"/>
          <w:szCs w:val="32"/>
        </w:rPr>
        <w:t>安排受理企业申请（具体时间</w:t>
      </w:r>
      <w:r>
        <w:rPr>
          <w:rFonts w:hint="eastAsia" w:ascii="仿宋_GB2312" w:hAnsi="仿宋_GB2312" w:eastAsia="仿宋_GB2312" w:cs="仿宋_GB2312"/>
          <w:kern w:val="2"/>
          <w:sz w:val="32"/>
          <w:szCs w:val="32"/>
        </w:rPr>
        <w:t>以发布的申报通知为准），资助计划下达1个月内受资助单位须办理资金拨付手续，逾期不办理者视为自动放弃。</w:t>
      </w:r>
    </w:p>
    <w:p>
      <w:pPr>
        <w:pStyle w:val="6"/>
        <w:shd w:val="clear" w:color="auto" w:fill="FFFFFF"/>
        <w:spacing w:before="0" w:beforeAutospacing="0" w:after="0" w:afterAutospacing="0" w:line="560" w:lineRule="exact"/>
        <w:ind w:firstLine="645"/>
        <w:jc w:val="both"/>
        <w:rPr>
          <w:rFonts w:ascii="Times New Roman" w:hAnsi="Times New Roman" w:eastAsia="黑体" w:cs="Times New Roman"/>
          <w:color w:val="000000"/>
          <w:kern w:val="2"/>
          <w:sz w:val="32"/>
          <w:szCs w:val="32"/>
        </w:rPr>
      </w:pPr>
      <w:r>
        <w:rPr>
          <w:rFonts w:hint="eastAsia" w:ascii="Times New Roman" w:hAnsi="黑体" w:eastAsia="黑体" w:cs="Times New Roman"/>
          <w:color w:val="000000"/>
          <w:kern w:val="2"/>
          <w:sz w:val="32"/>
          <w:szCs w:val="32"/>
        </w:rPr>
        <w:t>八、其他事项</w:t>
      </w:r>
    </w:p>
    <w:p>
      <w:pPr>
        <w:pStyle w:val="6"/>
        <w:shd w:val="clear" w:color="auto" w:fill="FFFFFF"/>
        <w:spacing w:before="0" w:beforeAutospacing="0" w:after="0" w:afterAutospacing="0" w:line="560" w:lineRule="exact"/>
        <w:ind w:firstLine="645"/>
        <w:jc w:val="both"/>
        <w:rPr>
          <w:rFonts w:ascii="Times New Roman" w:hAnsi="Times New Roman" w:eastAsia="仿宋_GB2312" w:cs="Times New Roman"/>
          <w:sz w:val="32"/>
          <w:szCs w:val="32"/>
        </w:rPr>
      </w:pPr>
      <w:r>
        <w:rPr>
          <w:rFonts w:hint="eastAsia" w:ascii="Times New Roman" w:hAnsi="Times New Roman" w:eastAsia="仿宋_GB2312" w:cs="Times New Roman"/>
          <w:kern w:val="2"/>
          <w:sz w:val="32"/>
          <w:szCs w:val="32"/>
        </w:rPr>
        <w:t>申请本项目资助的企业应保证其申报材料的完整性、</w:t>
      </w:r>
      <w:r>
        <w:rPr>
          <w:rFonts w:hint="eastAsia" w:ascii="Times New Roman" w:hAnsi="Times New Roman" w:eastAsia="仿宋_GB2312" w:cs="Times New Roman"/>
          <w:sz w:val="32"/>
          <w:szCs w:val="32"/>
        </w:rPr>
        <w:t>真实性、</w:t>
      </w:r>
      <w:r>
        <w:rPr>
          <w:rFonts w:hint="eastAsia" w:ascii="Times New Roman" w:hAnsi="Times New Roman" w:eastAsia="仿宋_GB2312" w:cs="Times New Roman"/>
          <w:kern w:val="2"/>
          <w:sz w:val="32"/>
          <w:szCs w:val="32"/>
        </w:rPr>
        <w:t>准确性</w:t>
      </w:r>
      <w:r>
        <w:rPr>
          <w:rFonts w:hint="eastAsia" w:ascii="Times New Roman" w:hAnsi="Times New Roman" w:eastAsia="仿宋_GB2312" w:cs="Times New Roman"/>
          <w:sz w:val="32"/>
          <w:szCs w:val="32"/>
        </w:rPr>
        <w:t>及合法性</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sz w:val="32"/>
          <w:szCs w:val="32"/>
        </w:rPr>
        <w:t>并承担所提交的项目申报材料的相关法律责任，如有虚假或侵权等行为，该项目申请无效，如事后发现存在以上行为，本资金主管部门将保留依法追究其法律责任的权利。</w:t>
      </w:r>
    </w:p>
    <w:p>
      <w:pPr>
        <w:pStyle w:val="6"/>
        <w:shd w:val="clear" w:color="auto" w:fill="FFFFFF"/>
        <w:spacing w:before="0" w:beforeAutospacing="0" w:after="0" w:afterAutospacing="0" w:line="560" w:lineRule="exact"/>
        <w:ind w:firstLine="640" w:firstLineChars="200"/>
        <w:jc w:val="both"/>
        <w:rPr>
          <w:rFonts w:ascii="Times New Roman" w:hAnsi="Times New Roman" w:eastAsia="黑体" w:cs="Times New Roman"/>
          <w:color w:val="000000"/>
          <w:kern w:val="2"/>
          <w:sz w:val="32"/>
          <w:szCs w:val="32"/>
        </w:rPr>
      </w:pPr>
      <w:r>
        <w:rPr>
          <w:rFonts w:hint="eastAsia" w:ascii="Times New Roman" w:hAnsi="黑体" w:eastAsia="黑体" w:cs="Times New Roman"/>
          <w:color w:val="000000"/>
          <w:kern w:val="2"/>
          <w:sz w:val="32"/>
          <w:szCs w:val="32"/>
        </w:rPr>
        <w:t>九、附则</w:t>
      </w:r>
    </w:p>
    <w:p>
      <w:pPr>
        <w:pStyle w:val="6"/>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本规程由南山区工业和信息化局负责解释，自发布之日起施行。</w:t>
      </w:r>
    </w:p>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6</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22015"/>
    <w:rsid w:val="23136F16"/>
    <w:rsid w:val="25022015"/>
    <w:rsid w:val="360B4516"/>
    <w:rsid w:val="4362139B"/>
    <w:rsid w:val="4FC62B37"/>
    <w:rsid w:val="75D9AF5F"/>
    <w:rsid w:val="7FE08553"/>
    <w:rsid w:val="AFFFB6C3"/>
    <w:rsid w:val="FC67A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next w:val="4"/>
    <w:unhideWhenUsed/>
    <w:qFormat/>
    <w:uiPriority w:val="99"/>
    <w:pPr>
      <w:spacing w:after="120"/>
    </w:pPr>
  </w:style>
  <w:style w:type="paragraph" w:styleId="4">
    <w:name w:val="Title"/>
    <w:basedOn w:val="1"/>
    <w:next w:val="1"/>
    <w:qFormat/>
    <w:uiPriority w:val="10"/>
    <w:pPr>
      <w:spacing w:before="240" w:after="60"/>
      <w:jc w:val="center"/>
      <w:outlineLvl w:val="0"/>
    </w:pPr>
    <w:rPr>
      <w:rFonts w:ascii="Cambria" w:hAnsi="Cambria" w:eastAsia="黑体" w:cs="Times New Roman"/>
      <w:b/>
      <w:bCs/>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1750</Words>
  <Characters>1909</Characters>
  <Lines>0</Lines>
  <Paragraphs>0</Paragraphs>
  <TotalTime>1</TotalTime>
  <ScaleCrop>false</ScaleCrop>
  <LinksUpToDate>false</LinksUpToDate>
  <CharactersWithSpaces>1914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2025-08-04T21:01:00Z</dcterms:created>
  <dc:creator>Menchures</dc:creator>
  <cp:lastModifiedBy>马炜轩</cp:lastModifiedBy>
  <dcterms:modified xsi:type="dcterms:W3CDTF">2025-08-07T15:15:47Z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B1D7605E2C484901BE7DFB26B7C75A18_11</vt:lpwstr>
  </property>
  <property fmtid="{D5CDD505-2E9C-101B-9397-08002B2CF9AE}" pid="4" name="KSOTemplateDocerSaveRecord">
    <vt:lpwstr>eyJoZGlkIjoiNTgwNzZjNWYzMDFiOGY0YjBiZWZjMjc1MmMyMDI4MjUiLCJ1c2VySWQiOiI2MjAxNzY1MjEifQ==</vt:lpwstr>
  </property>
</Properties>
</file>