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sz w:val="44"/>
          <w:szCs w:val="44"/>
        </w:rPr>
        <w:t>南山区促进产业高质量发展专项资金——区工业和信息化局分项资金—</w:t>
      </w:r>
    </w:p>
    <w:p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2025年四季度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“流量券”项目操作规程</w:t>
      </w:r>
    </w:p>
    <w:p>
      <w:pPr>
        <w:spacing w:line="560" w:lineRule="exact"/>
        <w:contextualSpacing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（2026年度）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为鼓励企业创新发展，根据《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南山区支持产业发展“六个券”行动方案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》等文件规定，制定本操作规程。</w:t>
      </w:r>
    </w:p>
    <w:p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一、政策内容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设立“流量券”资金池，对符合条件的企业按照上季度投流金额的5%</w:t>
      </w:r>
      <w:r>
        <w:rPr>
          <w:rFonts w:ascii="仿宋_GB2312" w:hAnsi="仿宋_GB2312" w:eastAsia="仿宋_GB2312" w:cs="仿宋_GB2312"/>
          <w:sz w:val="32"/>
          <w:szCs w:val="32"/>
        </w:rPr>
        <w:t>及投流增量的5%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发放“流量券”，本季度在流量平台进行投放时可直接进行抵扣，单家企业每批次“流量券”申领最高300万元。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资助方式</w:t>
      </w:r>
    </w:p>
    <w:p>
      <w:pPr>
        <w:widowControl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widowControl/>
        <w:spacing w:line="560" w:lineRule="exact"/>
        <w:ind w:firstLine="537" w:firstLineChars="168"/>
        <w:rPr>
          <w:rFonts w:eastAsia="仿宋_GB2312"/>
        </w:rPr>
      </w:pPr>
      <w:r>
        <w:rPr>
          <w:rFonts w:hint="eastAsia" w:eastAsia="仿宋_GB2312"/>
          <w:sz w:val="32"/>
          <w:szCs w:val="32"/>
        </w:rPr>
        <w:t>本项资助受年度资金预算控制，区工信局视申报情况和预算安排，可以对资助金额、支持比例和拨付进度等进行统一调整，申报主体应无条件同意调整结果。</w:t>
      </w:r>
    </w:p>
    <w:p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三、资助标准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对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规上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工业、营利性服务业、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批零业、住餐企业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给予流量补贴，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包括两类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：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一是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对2025年四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季度营收/产值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/销售额/营业额指标同比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正增长的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2025年四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流量投放总额给予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奖励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，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按照指标规模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设定上限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；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二是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对上季度加大投放力度的企业，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2025年四季度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较三季度投放流量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增加额给予奖励。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两者可叠加享受，每家企业每季度最高可申领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40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00万元。参与流量券项目的平台和广告服务商不享受流量奖励。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具体条件如下：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2" w:firstLineChars="200"/>
        <w:jc w:val="left"/>
        <w:textAlignment w:val="center"/>
        <w:rPr>
          <w:rFonts w:ascii="仿宋_GB2312" w:hAnsi="Times New Roman" w:eastAsia="仿宋_GB2312" w:cs="Times New Roman"/>
          <w:b/>
          <w:bCs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1.基础流量奖励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广告主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2025年四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hint="eastAsia" w:ascii="东文宋体" w:hAnsi="东文宋体" w:eastAsia="东文宋体" w:cs="东文宋体"/>
          <w:color w:val="000000"/>
          <w:sz w:val="32"/>
          <w:szCs w:val="40"/>
          <w:vertAlign w:val="superscript"/>
        </w:rPr>
        <w:t>①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营收/产值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/销售额/营业额指标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同比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正增长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的，按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2025年1</w:t>
      </w:r>
      <w:r>
        <w:rPr>
          <w:rFonts w:ascii="仿宋_GB2312" w:eastAsia="仿宋_GB2312" w:cs="Times New Roman"/>
          <w:color w:val="000000"/>
          <w:sz w:val="32"/>
          <w:szCs w:val="40"/>
        </w:rPr>
        <w:t>0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至</w:t>
      </w:r>
      <w:r>
        <w:rPr>
          <w:rFonts w:ascii="仿宋_GB2312" w:eastAsia="仿宋_GB2312" w:cs="Times New Roman"/>
          <w:color w:val="000000"/>
          <w:sz w:val="32"/>
          <w:szCs w:val="40"/>
        </w:rPr>
        <w:t>12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内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实际投放流量的5%发放“流量券”。最高奖励金额计算如下：</w:t>
      </w:r>
    </w:p>
    <w:tbl>
      <w:tblPr>
        <w:tblStyle w:val="11"/>
        <w:tblW w:w="7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277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42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773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标准</w:t>
            </w:r>
          </w:p>
        </w:tc>
        <w:tc>
          <w:tcPr>
            <w:tcW w:w="1757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每季度最高奖励金额（万元）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42" w:type="dxa"/>
            <w:vMerge w:val="restart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2025年四季度</w:t>
            </w:r>
            <w:r>
              <w:rPr>
                <w:rFonts w:hint="eastAsia" w:ascii="东文宋体" w:hAnsi="东文宋体" w:eastAsia="东文宋体" w:cs="东文宋体"/>
                <w:color w:val="000000"/>
                <w:kern w:val="0"/>
                <w:sz w:val="24"/>
                <w:vertAlign w:val="superscript"/>
                <w:lang w:bidi="ar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月均营收/产值/销售额/营业额规模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perscript"/>
                <w:lang w:bidi="ar"/>
              </w:rPr>
              <w:t>②</w:t>
            </w:r>
          </w:p>
        </w:tc>
        <w:tc>
          <w:tcPr>
            <w:tcW w:w="277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元以下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42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7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（含）-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亿元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342" w:type="dxa"/>
            <w:vMerge w:val="continue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73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5亿元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（含）以上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</w:tr>
    </w:tbl>
    <w:p>
      <w:pPr>
        <w:jc w:val="center"/>
        <w:rPr>
          <w:szCs w:val="21"/>
        </w:rPr>
      </w:pPr>
      <w:r>
        <w:rPr>
          <w:rFonts w:hint="eastAsia" w:ascii="东文宋体" w:hAnsi="东文宋体" w:eastAsia="东文宋体" w:cs="东文宋体"/>
          <w:szCs w:val="21"/>
        </w:rPr>
        <w:t>①</w:t>
      </w:r>
      <w:r>
        <w:rPr>
          <w:rFonts w:hint="eastAsia"/>
          <w:szCs w:val="21"/>
        </w:rPr>
        <w:t>：四季度营收/产值/销售额/营业额指标时间范围按行业区分如下：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营利性服务业为9-11月；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工业、批发业、零售业、住宿业、餐饮业为10-12月；</w:t>
      </w:r>
    </w:p>
    <w:p>
      <w:pPr>
        <w:jc w:val="center"/>
        <w:rPr>
          <w:szCs w:val="21"/>
        </w:rPr>
      </w:pPr>
    </w:p>
    <w:p>
      <w:pPr>
        <w:jc w:val="center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②：</w:t>
      </w:r>
      <w:r>
        <w:rPr>
          <w:szCs w:val="21"/>
        </w:rPr>
        <w:t>企业规模指标按行业</w:t>
      </w:r>
      <w:r>
        <w:rPr>
          <w:rFonts w:hint="eastAsia"/>
          <w:szCs w:val="21"/>
        </w:rPr>
        <w:t>分类如</w:t>
      </w:r>
      <w:r>
        <w:rPr>
          <w:szCs w:val="21"/>
        </w:rPr>
        <w:t>下</w:t>
      </w:r>
      <w:r>
        <w:rPr>
          <w:rFonts w:hint="eastAsia"/>
          <w:szCs w:val="21"/>
        </w:rPr>
        <w:t>：营利性服务业企业以营收为指标、工业企业以产值为指标、批发零售业企业以销售额为指标、住宿餐饮业企业以营业额为指标</w:t>
      </w:r>
      <w:r>
        <w:rPr>
          <w:rFonts w:hint="eastAsia"/>
          <w:szCs w:val="21"/>
          <w:lang w:eastAsia="zh-CN"/>
        </w:rPr>
        <w:t>，具体以统计局数据为准</w: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营利性服务业月均营收计算公式为：2025年</w:t>
      </w:r>
      <w:r>
        <w:rPr>
          <w:szCs w:val="21"/>
        </w:rPr>
        <w:t>9</w:t>
      </w:r>
      <w:r>
        <w:rPr>
          <w:rFonts w:hint="eastAsia"/>
          <w:szCs w:val="21"/>
        </w:rPr>
        <w:t>至1</w:t>
      </w:r>
      <w:r>
        <w:rPr>
          <w:szCs w:val="21"/>
        </w:rPr>
        <w:t>1</w:t>
      </w:r>
      <w:r>
        <w:rPr>
          <w:rFonts w:hint="eastAsia"/>
          <w:szCs w:val="21"/>
        </w:rPr>
        <w:t>月营收/</w:t>
      </w:r>
      <w:r>
        <w:rPr>
          <w:szCs w:val="21"/>
        </w:rPr>
        <w:t>3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工业月均产值、批发零售业月均销售额、住宿餐饮业月均营业额规模计算公式为：（2025年</w:t>
      </w:r>
      <w:r>
        <w:rPr>
          <w:szCs w:val="21"/>
        </w:rPr>
        <w:t>10</w:t>
      </w:r>
      <w:r>
        <w:rPr>
          <w:rFonts w:hint="eastAsia"/>
          <w:szCs w:val="21"/>
        </w:rPr>
        <w:t>至1</w:t>
      </w:r>
      <w:r>
        <w:rPr>
          <w:szCs w:val="21"/>
        </w:rPr>
        <w:t>2</w:t>
      </w:r>
      <w:r>
        <w:rPr>
          <w:rFonts w:hint="eastAsia"/>
          <w:szCs w:val="21"/>
        </w:rPr>
        <w:t>月产值/销售额/营业额规模）/</w:t>
      </w:r>
      <w:r>
        <w:rPr>
          <w:szCs w:val="21"/>
        </w:rPr>
        <w:t>3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eastAsia="仿宋_GB2312" w:cs="Times New Roman"/>
          <w:color w:val="000000"/>
          <w:sz w:val="32"/>
          <w:szCs w:val="40"/>
        </w:rPr>
      </w:pPr>
      <w:r>
        <w:rPr>
          <w:rFonts w:hint="eastAsia" w:ascii="仿宋_GB2312" w:eastAsia="仿宋_GB2312" w:cs="Times New Roman"/>
          <w:color w:val="000000"/>
          <w:sz w:val="32"/>
          <w:szCs w:val="40"/>
        </w:rPr>
        <w:t>营利性服务业、工业、批发业、零售业、住宿业、餐饮业基础流量奖励计算公式为：2025年10至12月实际投放流量金额*5%。</w:t>
      </w:r>
    </w:p>
    <w:p>
      <w:pPr>
        <w:spacing w:line="560" w:lineRule="exact"/>
        <w:ind w:firstLine="642" w:firstLineChars="200"/>
        <w:outlineLvl w:val="2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2.新增流量奖励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2025年1</w:t>
      </w:r>
      <w:r>
        <w:rPr>
          <w:rFonts w:ascii="仿宋_GB2312" w:eastAsia="仿宋_GB2312" w:cs="Times New Roman"/>
          <w:color w:val="000000"/>
          <w:sz w:val="32"/>
          <w:szCs w:val="40"/>
        </w:rPr>
        <w:t>0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至1</w:t>
      </w:r>
      <w:r>
        <w:rPr>
          <w:rFonts w:ascii="仿宋_GB2312" w:eastAsia="仿宋_GB2312" w:cs="Times New Roman"/>
          <w:color w:val="000000"/>
          <w:sz w:val="32"/>
          <w:szCs w:val="40"/>
        </w:rPr>
        <w:t>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内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实际投放流量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较7至9月实际投放流量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增加额的5%给予流量奖励，不设上限</w:t>
      </w:r>
      <w:r>
        <w:rPr>
          <w:rFonts w:hint="eastAsia" w:ascii="东文宋体" w:hAnsi="东文宋体" w:eastAsia="东文宋体" w:cs="东文宋体"/>
          <w:color w:val="000000"/>
          <w:sz w:val="32"/>
          <w:szCs w:val="40"/>
          <w:vertAlign w:val="superscript"/>
        </w:rPr>
        <w:t>①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。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注：新增流量奖励无营收/产值/销售额/营业额指标同比正增长的要求；</w:t>
      </w:r>
    </w:p>
    <w:p>
      <w:pPr>
        <w:jc w:val="center"/>
        <w:rPr>
          <w:szCs w:val="21"/>
        </w:rPr>
      </w:pP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①：新增流量奖励不依据企业规模指标设上限，与基础流量奖励可叠加享受，两项奖励叠加每家企业每季度最高可申领300万元；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eastAsia="仿宋_GB2312" w:cs="Times New Roman"/>
          <w:color w:val="000000"/>
          <w:sz w:val="32"/>
          <w:szCs w:val="40"/>
        </w:rPr>
      </w:pPr>
      <w:r>
        <w:rPr>
          <w:rFonts w:hint="eastAsia" w:ascii="仿宋_GB2312" w:eastAsia="仿宋_GB2312" w:cs="Times New Roman"/>
          <w:color w:val="000000"/>
          <w:sz w:val="32"/>
          <w:szCs w:val="40"/>
        </w:rPr>
        <w:t>营利性服务业、工业、批发业、零售业、住宿业、餐饮业新增流量奖励计算公式为：（2025年10至12月实际投放流量金额-2025年7至9月实际投放流量金额）*5%。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申报主体营收/产值/销售额/营业额规模以区统计局确认的数据为准；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实际投放流量金额以2025年四季度流量券项目中申报主体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与已遴选公示的服务商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及关联公司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平台内产生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的7至9月以及1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至1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月实际消耗金额数据为准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，具体以平台提供的数据为准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4.参与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年四季度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流量券项目的平台与广告服务商通过遴选确定，遴选公示的名单详见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南山区工信局官网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四、申请条件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（一）基本条件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数据申报地在南山区的主体；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2.履行相关数据申报义务、守法经营、诚实守信、有规范健全的财务制度；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3.积极配合区委、区政府相关工作。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（二）有下列情况之一的，本项资金不予资助：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1.被依法依规纳入严重失信主体名单或失信惩戒措施清单的；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2.提出资助申请后，申报主体项目实施地或数据申报地发生变化，不再符合申报条件的。</w:t>
      </w:r>
    </w:p>
    <w:p>
      <w:pPr>
        <w:widowControl/>
        <w:adjustRightInd w:val="0"/>
        <w:snapToGrid w:val="0"/>
        <w:spacing w:line="560" w:lineRule="exact"/>
        <w:ind w:firstLine="537" w:firstLineChars="168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五、</w:t>
      </w:r>
      <w:r>
        <w:rPr>
          <w:rFonts w:hint="eastAsia" w:ascii="黑体" w:hAnsi="黑体" w:eastAsia="黑体" w:cs="Times New Roman"/>
          <w:bCs/>
          <w:sz w:val="32"/>
          <w:szCs w:val="32"/>
        </w:rPr>
        <w:t>办理流程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（一）申报主体登陆“Ai南山企业服务综合平台”（https://www.inanshan.org.cn/），网上提交项目申报材料；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（二）区企业发展服务中心受理申请，对申报材料进行形式性审核，区工业和信息化局复审项目申报材料； 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（三）区工业和信息化局拟定资助计划；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（四）区相关部门对申报主体的有关经营资质情况进行核查；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区企业发展服务中心将拟资助项目向社会公示5个工作日，对公示期满、无有效投诉的项目资助计划，区工业和信息化局再按照相应审核程序提交会议审议；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（六）经审议后，由区工业和信息化局直接行文下达资金计划；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（七）平台线上提交加盖单位财务专用章的收据后，区财政部门及时安排资金，区工业和信息化局同步办理资金拨付手续拨付至相应平台；</w:t>
      </w:r>
    </w:p>
    <w:p>
      <w:pPr>
        <w:widowControl/>
        <w:tabs>
          <w:tab w:val="left" w:pos="2940"/>
        </w:tabs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（八）平台方及时将资金划转至流量券专项资金账户，供申报主体投放流量时抵扣使用。</w:t>
      </w:r>
    </w:p>
    <w:p>
      <w:pPr>
        <w:widowControl/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六、所需材料</w:t>
      </w:r>
    </w:p>
    <w:p>
      <w:pPr>
        <w:widowControl/>
        <w:tabs>
          <w:tab w:val="left" w:pos="294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登录“Ai南山企业服务综合平台”https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://www.inanshan.org.cn/，在线填写《南山区促进产业高质量发展专项资金—区工业和信息化局分项资金—2025年四季度“流量券”项目申请书》相关申报材料； 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）统一社会信用代码证书（原件彩色扫描成PDF文件上传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）法定代表人身份证[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原件（或复印件加盖单位公章）彩色扫描成PDF文件上传）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>]；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）申报主体由税务部门开具的单位2025年度的纳税证明（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上传税务系统下载带有税务机关红色印章的电子版，事业单位除外）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</w:rPr>
        <w:t>）申请基础流量奖励项目需提供：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（1）2025年</w:t>
      </w:r>
      <w:r>
        <w:rPr>
          <w:rFonts w:hint="eastAsia" w:ascii="仿宋_GB2312" w:eastAsia="仿宋_GB2312"/>
          <w:sz w:val="32"/>
          <w:szCs w:val="32"/>
        </w:rPr>
        <w:t>营利性服务业1-8和1-11月财务状况表；工业1-9和1-12月工业产销总值及主要产品产量表；批发业、零售业1-9和1-12月商品销售和库存表；住宿业、餐饮业1-9和1-12月经营情况表；以及调查单位基本情况表[“统计联网直报平台”下载，原件（或复印件加盖单位公章）彩色扫描成PDF文件上传]；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（2）2025年1</w:t>
      </w:r>
      <w:r>
        <w:rPr>
          <w:rFonts w:ascii="仿宋_GB2312" w:hAnsi="仿宋_GB2312" w:eastAsia="仿宋_GB2312" w:cs="仿宋_GB2312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平台内产生的实际交易相关证明材料，如合同等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；最终奖励计算以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月实际消耗金额数据为准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，具体以平台提供的数据为准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left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（六）申请新增流量奖励项目需提供：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2025年7至9月及1</w:t>
      </w:r>
      <w:r>
        <w:rPr>
          <w:rFonts w:ascii="仿宋_GB2312" w:hAnsi="仿宋_GB2312" w:eastAsia="仿宋_GB2312" w:cs="仿宋_GB2312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平台内产生的实际交易相关证明材料，含合同等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；最终奖励计算以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的7至9月及1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月实际消耗金额数据为准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，具体以平台提供的数据为准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（七）审核部门认为需要提供的其他材料［原件（或复印件加盖单位公章）彩色扫描成PDF文件上传］。</w:t>
      </w:r>
    </w:p>
    <w:p>
      <w:pPr>
        <w:widowControl/>
        <w:shd w:val="clear" w:color="auto" w:fill="FFFFFF"/>
        <w:spacing w:line="560" w:lineRule="exact"/>
        <w:ind w:firstLine="64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七、时限要求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（一）区工信局视申请情况安排集中受理企业申请，具体受理时间以发布的申报通知为准。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（二）申报主体须按照区工信局相关通知要求及时提交资金拨付所需材料，逾期不办理者视为自动放弃。</w:t>
      </w:r>
    </w:p>
    <w:p>
      <w:pPr>
        <w:widowControl/>
        <w:shd w:val="clear" w:color="auto" w:fill="FFFFFF"/>
        <w:spacing w:line="560" w:lineRule="exact"/>
        <w:ind w:firstLine="645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八、其他事项</w:t>
      </w:r>
    </w:p>
    <w:p>
      <w:pPr>
        <w:spacing w:line="560" w:lineRule="exact"/>
        <w:ind w:firstLine="628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>本项目所依据的政策内容执行期间如遇国家、省、市有关政策调整的，按照上级有关规定执行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申请本项目资助的主体应保证其申报材料的完整性、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并承担因其提交的项目申报材料产生的相关法律责任，如有虚假或侵权等行为，该项目申请无效，如事后发现存在以上行为，本资金主管部门将保留依法追究其法律责任的权利。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九、附则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，本操作规程由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负责解释，自发布之日起施行。</w:t>
      </w:r>
    </w:p>
    <w:p>
      <w:pPr>
        <w:adjustRightInd w:val="0"/>
        <w:snapToGrid w:val="0"/>
        <w:spacing w:line="560" w:lineRule="exact"/>
        <w:rPr>
          <w:rFonts w:ascii="Times New Roman" w:hAnsi="仿宋" w:eastAsia="仿宋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东文宋体">
    <w:altName w:val="方正书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AA429"/>
    <w:multiLevelType w:val="singleLevel"/>
    <w:tmpl w:val="76CAA4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6304C"/>
    <w:rsid w:val="00153A87"/>
    <w:rsid w:val="004128AA"/>
    <w:rsid w:val="00452315"/>
    <w:rsid w:val="005B3561"/>
    <w:rsid w:val="007F5770"/>
    <w:rsid w:val="00816C49"/>
    <w:rsid w:val="00846DE0"/>
    <w:rsid w:val="00856F8E"/>
    <w:rsid w:val="00877371"/>
    <w:rsid w:val="008906E2"/>
    <w:rsid w:val="008F0DC5"/>
    <w:rsid w:val="0096158F"/>
    <w:rsid w:val="00A445ED"/>
    <w:rsid w:val="00A966AA"/>
    <w:rsid w:val="00A96A7E"/>
    <w:rsid w:val="00BA1117"/>
    <w:rsid w:val="00C84AAE"/>
    <w:rsid w:val="00CF5F21"/>
    <w:rsid w:val="00D547F6"/>
    <w:rsid w:val="00D604AA"/>
    <w:rsid w:val="171B7636"/>
    <w:rsid w:val="1CD468EB"/>
    <w:rsid w:val="1FBFB84F"/>
    <w:rsid w:val="2B3FC42D"/>
    <w:rsid w:val="2BED59F1"/>
    <w:rsid w:val="2EDF2856"/>
    <w:rsid w:val="3A354A03"/>
    <w:rsid w:val="3C66227C"/>
    <w:rsid w:val="3EF6E7D1"/>
    <w:rsid w:val="3FC2DBF4"/>
    <w:rsid w:val="3FEFE7BF"/>
    <w:rsid w:val="3FF4A656"/>
    <w:rsid w:val="4A1947CF"/>
    <w:rsid w:val="4BBFA0C6"/>
    <w:rsid w:val="4F6FA2DA"/>
    <w:rsid w:val="4FD642BE"/>
    <w:rsid w:val="4FEB407D"/>
    <w:rsid w:val="55FCA63F"/>
    <w:rsid w:val="56768973"/>
    <w:rsid w:val="5BFFB57F"/>
    <w:rsid w:val="5DAFB5BA"/>
    <w:rsid w:val="5EFB6072"/>
    <w:rsid w:val="635B863C"/>
    <w:rsid w:val="67FF55C6"/>
    <w:rsid w:val="6CD20126"/>
    <w:rsid w:val="6E1FB4EB"/>
    <w:rsid w:val="6E672434"/>
    <w:rsid w:val="6FBF2613"/>
    <w:rsid w:val="723F34C0"/>
    <w:rsid w:val="75FB6C8D"/>
    <w:rsid w:val="76F7CE72"/>
    <w:rsid w:val="78BF2F05"/>
    <w:rsid w:val="7B6DF7A5"/>
    <w:rsid w:val="7BAFAE63"/>
    <w:rsid w:val="7C570E8D"/>
    <w:rsid w:val="7D753B4A"/>
    <w:rsid w:val="7E27968A"/>
    <w:rsid w:val="7EFF747F"/>
    <w:rsid w:val="7F65F9D6"/>
    <w:rsid w:val="7FCD65A3"/>
    <w:rsid w:val="7FCEBC8A"/>
    <w:rsid w:val="7FDFA169"/>
    <w:rsid w:val="7FFF1873"/>
    <w:rsid w:val="7FFF9AF2"/>
    <w:rsid w:val="7FFFA9B3"/>
    <w:rsid w:val="9FFFDF39"/>
    <w:rsid w:val="A23F1DE9"/>
    <w:rsid w:val="ABF885CB"/>
    <w:rsid w:val="AE7ED61B"/>
    <w:rsid w:val="B76FC44A"/>
    <w:rsid w:val="B94EAD07"/>
    <w:rsid w:val="BA7F4EC0"/>
    <w:rsid w:val="BBDBF9BF"/>
    <w:rsid w:val="BCFF137B"/>
    <w:rsid w:val="BD763E22"/>
    <w:rsid w:val="BDF504A0"/>
    <w:rsid w:val="BF771065"/>
    <w:rsid w:val="CD2791FB"/>
    <w:rsid w:val="CEBA1A17"/>
    <w:rsid w:val="CFFDEFAB"/>
    <w:rsid w:val="DF8FA6DA"/>
    <w:rsid w:val="DFF997D7"/>
    <w:rsid w:val="E5FF97CE"/>
    <w:rsid w:val="EFFFD27A"/>
    <w:rsid w:val="EFFFDCFB"/>
    <w:rsid w:val="F3CBEE14"/>
    <w:rsid w:val="F3FEFEBA"/>
    <w:rsid w:val="F5BEC2C2"/>
    <w:rsid w:val="F6E52A82"/>
    <w:rsid w:val="F773438A"/>
    <w:rsid w:val="F77FE554"/>
    <w:rsid w:val="FABB2D9D"/>
    <w:rsid w:val="FBCD5B26"/>
    <w:rsid w:val="FBDC42A8"/>
    <w:rsid w:val="FBDF8F8D"/>
    <w:rsid w:val="FDBC610B"/>
    <w:rsid w:val="FDDF0CC2"/>
    <w:rsid w:val="FDFC5DA1"/>
    <w:rsid w:val="FDFF2571"/>
    <w:rsid w:val="FF794E39"/>
    <w:rsid w:val="FF7B7353"/>
    <w:rsid w:val="FF7EB468"/>
    <w:rsid w:val="FF7FB5CE"/>
    <w:rsid w:val="FF8B49C1"/>
    <w:rsid w:val="FFA3868D"/>
    <w:rsid w:val="FFDC702D"/>
    <w:rsid w:val="FFE7878E"/>
    <w:rsid w:val="FFFD275B"/>
    <w:rsid w:val="FF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Arial" w:hAnsi="Arial" w:eastAsia="方正小标宋简体" w:cs="Times New Roman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2918</Words>
  <Characters>3135</Characters>
  <Lines>22</Lines>
  <Paragraphs>6</Paragraphs>
  <TotalTime>12</TotalTime>
  <ScaleCrop>false</ScaleCrop>
  <LinksUpToDate>false</LinksUpToDate>
  <CharactersWithSpaces>3137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2018-07-22T07:11:00Z</dcterms:created>
  <dc:creator>d</dc:creator>
  <cp:lastModifiedBy>马炜轩</cp:lastModifiedBy>
  <cp:lastPrinted>2026-01-09T06:24:00Z</cp:lastPrinted>
  <dcterms:modified xsi:type="dcterms:W3CDTF">2026-01-28T17:40:22Z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eyJoZGlkIjoiNTgwNzZjNWYzMDFiOGY0YjBiZWZjMjc1MmMyMDI4MjUiLCJ1c2VySWQiOiI3MDI4OTAzODMifQ==</vt:lpwstr>
  </property>
  <property fmtid="{D5CDD505-2E9C-101B-9397-08002B2CF9AE}" pid="4" name="ICV">
    <vt:lpwstr>DC2394F55D3F4FFDB84C21C486890935_12</vt:lpwstr>
  </property>
</Properties>
</file>