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5EC28">
      <w:pPr>
        <w:widowControl/>
        <w:autoSpaceDE w:val="0"/>
        <w:autoSpaceDN w:val="0"/>
        <w:spacing w:line="360" w:lineRule="auto"/>
        <w:jc w:val="center"/>
        <w:textAlignment w:val="bottom"/>
        <w:outlineLvl w:val="0"/>
        <w:rPr>
          <w:rFonts w:hint="eastAsia" w:ascii="黑体" w:hAnsi="黑体" w:eastAsia="黑体"/>
          <w:b/>
          <w:bCs/>
          <w:sz w:val="44"/>
          <w:szCs w:val="44"/>
          <w:lang w:eastAsia="zh-Hans"/>
        </w:rPr>
      </w:pPr>
    </w:p>
    <w:p w14:paraId="564B2C63">
      <w:pPr>
        <w:widowControl/>
        <w:autoSpaceDE w:val="0"/>
        <w:autoSpaceDN w:val="0"/>
        <w:spacing w:line="360" w:lineRule="auto"/>
        <w:jc w:val="center"/>
        <w:textAlignment w:val="bottom"/>
        <w:outlineLvl w:val="0"/>
        <w:rPr>
          <w:rFonts w:hint="eastAsia" w:ascii="黑体" w:hAnsi="黑体" w:eastAsia="黑体"/>
          <w:b/>
          <w:bCs/>
          <w:sz w:val="44"/>
          <w:szCs w:val="44"/>
          <w:lang w:eastAsia="zh-Hans"/>
        </w:rPr>
      </w:pPr>
    </w:p>
    <w:p w14:paraId="3EDBC804">
      <w:pPr>
        <w:widowControl/>
        <w:autoSpaceDE w:val="0"/>
        <w:autoSpaceDN w:val="0"/>
        <w:spacing w:line="360" w:lineRule="auto"/>
        <w:jc w:val="center"/>
        <w:textAlignment w:val="bottom"/>
        <w:outlineLvl w:val="0"/>
        <w:rPr>
          <w:rFonts w:hint="eastAsia" w:ascii="黑体" w:hAnsi="黑体" w:eastAsia="黑体"/>
          <w:b/>
          <w:bCs/>
          <w:sz w:val="44"/>
          <w:szCs w:val="44"/>
          <w:lang w:eastAsia="zh-Hans"/>
        </w:rPr>
      </w:pPr>
    </w:p>
    <w:p w14:paraId="7AB1AAFA">
      <w:pPr>
        <w:widowControl/>
        <w:autoSpaceDE w:val="0"/>
        <w:autoSpaceDN w:val="0"/>
        <w:spacing w:line="360" w:lineRule="auto"/>
        <w:jc w:val="center"/>
        <w:textAlignment w:val="bottom"/>
        <w:outlineLvl w:val="0"/>
        <w:rPr>
          <w:rFonts w:hint="eastAsia" w:ascii="黑体" w:hAnsi="黑体" w:eastAsia="黑体"/>
          <w:b/>
          <w:bCs/>
          <w:sz w:val="44"/>
          <w:szCs w:val="44"/>
          <w:lang w:eastAsia="zh-Hans"/>
        </w:rPr>
      </w:pPr>
      <w:bookmarkStart w:id="0" w:name="_GoBack"/>
      <w:bookmarkEnd w:id="0"/>
    </w:p>
    <w:p w14:paraId="6B174D6C">
      <w:pPr>
        <w:autoSpaceDE/>
        <w:autoSpaceDN/>
        <w:adjustRightIn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Hans" w:bidi="ar-SA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Hans" w:bidi="ar-SA"/>
        </w:rPr>
        <w:t>CSMM 体系常态化运行报告</w:t>
      </w:r>
    </w:p>
    <w:p w14:paraId="57E07435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p w14:paraId="37AF7B3C">
      <w:pPr>
        <w:pStyle w:val="14"/>
        <w:ind w:firstLine="880"/>
        <w:rPr>
          <w:rFonts w:asciiTheme="minorEastAsia" w:hAnsiTheme="minorEastAsia" w:eastAsiaTheme="minorEastAsia"/>
          <w:sz w:val="44"/>
          <w:szCs w:val="44"/>
        </w:rPr>
      </w:pPr>
    </w:p>
    <w:p w14:paraId="388CCFCE">
      <w:pPr>
        <w:pStyle w:val="14"/>
        <w:ind w:left="0" w:leftChars="0" w:firstLine="0" w:firstLineChars="0"/>
        <w:rPr>
          <w:rFonts w:asciiTheme="minorEastAsia" w:hAnsiTheme="minorEastAsia" w:eastAsiaTheme="minorEastAsia"/>
          <w:sz w:val="44"/>
          <w:szCs w:val="44"/>
        </w:rPr>
      </w:pPr>
    </w:p>
    <w:p w14:paraId="0D0CEB61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tbl>
      <w:tblPr>
        <w:tblStyle w:val="16"/>
        <w:tblW w:w="7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3860"/>
        <w:gridCol w:w="1527"/>
      </w:tblGrid>
      <w:tr w14:paraId="644F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487" w:type="dxa"/>
          </w:tcPr>
          <w:p w14:paraId="43AE9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16"/>
                <w:position w:val="-11"/>
                <w:sz w:val="32"/>
                <w:szCs w:val="32"/>
              </w:rPr>
              <w:t>织：</w:t>
            </w:r>
          </w:p>
        </w:tc>
        <w:tc>
          <w:tcPr>
            <w:tcW w:w="3860" w:type="dxa"/>
            <w:tcBorders>
              <w:bottom w:val="single" w:color="auto" w:sz="4" w:space="0"/>
            </w:tcBorders>
          </w:tcPr>
          <w:p w14:paraId="1CF1A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7"/>
                <w:sz w:val="32"/>
                <w:szCs w:val="32"/>
              </w:rPr>
            </w:pPr>
          </w:p>
        </w:tc>
        <w:tc>
          <w:tcPr>
            <w:tcW w:w="1527" w:type="dxa"/>
            <w:tcBorders>
              <w:bottom w:val="nil"/>
            </w:tcBorders>
          </w:tcPr>
          <w:p w14:paraId="7DF2B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7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napToGrid w:val="0"/>
                <w:position w:val="-17"/>
                <w:sz w:val="32"/>
                <w:szCs w:val="32"/>
              </w:rPr>
              <w:t>（盖章）</w:t>
            </w:r>
          </w:p>
        </w:tc>
      </w:tr>
      <w:tr w14:paraId="0CA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487" w:type="dxa"/>
          </w:tcPr>
          <w:p w14:paraId="17BC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申请日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16"/>
                <w:position w:val="-11"/>
                <w:sz w:val="32"/>
                <w:szCs w:val="32"/>
              </w:rPr>
              <w:t>期：</w:t>
            </w:r>
          </w:p>
        </w:tc>
        <w:tc>
          <w:tcPr>
            <w:tcW w:w="3860" w:type="dxa"/>
            <w:tcBorders>
              <w:top w:val="single" w:color="auto" w:sz="4" w:space="0"/>
              <w:bottom w:val="single" w:color="auto" w:sz="4" w:space="0"/>
            </w:tcBorders>
          </w:tcPr>
          <w:p w14:paraId="3FF60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7"/>
                <w:sz w:val="32"/>
                <w:szCs w:val="32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14:paraId="5D04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17"/>
                <w:sz w:val="32"/>
                <w:szCs w:val="32"/>
              </w:rPr>
            </w:pPr>
          </w:p>
        </w:tc>
      </w:tr>
    </w:tbl>
    <w:p w14:paraId="2BA33B42">
      <w:pPr>
        <w:rPr>
          <w:rFonts w:hint="eastAsia" w:ascii="方正小标宋简体" w:hAnsi="方正小标宋简体" w:eastAsia="方正小标宋简体" w:cs="方正小标宋简体"/>
          <w:b/>
          <w:bCs/>
        </w:rPr>
      </w:pPr>
    </w:p>
    <w:p w14:paraId="3EB1088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</w:rPr>
        <w:sectPr>
          <w:pgSz w:w="11906" w:h="16838"/>
          <w:pgMar w:top="1440" w:right="1440" w:bottom="1440" w:left="1440" w:header="708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 w14:paraId="76CB43E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</w:rPr>
        <w:t>CSMM 体系常态化运行报告</w:t>
      </w:r>
    </w:p>
    <w:p w14:paraId="0C421A3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3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一、报告概述</w:t>
      </w:r>
    </w:p>
    <w:p w14:paraId="77706A20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本报告旨在全面说明本组织对标GB/T 45989-2025《软件过程能力成熟度模型》（以下简称“CSMM”）</w:t>
      </w:r>
      <w:r>
        <w:rPr>
          <w:rFonts w:hint="eastAsia" w:ascii="Times New Roman" w:hAnsi="Times New Roman" w:eastAsia="仿宋" w:cs="仿宋"/>
          <w:color w:val="0000FF"/>
          <w:sz w:val="32"/>
          <w:szCs w:val="32"/>
          <w:lang w:val="en-US" w:eastAsia="zh-CN"/>
        </w:rPr>
        <w:t>XX级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常态化运行情况，包括战略与治理、开发与交付、管理与支持、组织保障四大能力域。</w:t>
      </w:r>
    </w:p>
    <w:p w14:paraId="688ABB67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本报告数据来源于各部门体系运行记录（如过程执行表单、技术评审报告）、内部审核资料及业务系统（如研发管理平台、项目协作工具）统计结果，确保数据真实、完整、可追溯。</w:t>
      </w:r>
    </w:p>
    <w:p w14:paraId="333A423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黑体" w:cs="Times New Roman"/>
          <w:sz w:val="32"/>
          <w:szCs w:val="32"/>
        </w:rPr>
        <w:t>体系常态化运行现状</w:t>
      </w:r>
    </w:p>
    <w:p w14:paraId="5D5CFB7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2.1 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四大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能力域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运行情况</w:t>
      </w:r>
    </w:p>
    <w:p w14:paraId="32D7DE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2.1.1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战略与治理</w:t>
      </w:r>
    </w:p>
    <w:p w14:paraId="2A7CD979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遵循 CSMM“战略规划与落地、治理机制建设”的要求，将软件能力提升纳入组织整体战略，制定《年度软件能力改进计划》，明确“研发周期缩短10%、缺陷率降低15%”的核心目标。建立“战略-目标-过程-结果” 的闭环治理机制，通过 KPI 考核（如过程合规率、目标达成率）监控战略落地，符合CSMM对“治理过程规范化、战略执行可监控”的等级要求。（企业自行修改）</w:t>
      </w:r>
    </w:p>
    <w:p w14:paraId="5E04C89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2.1.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 开发与交付</w:t>
      </w:r>
    </w:p>
    <w:p w14:paraId="173DB37E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对标CSMM“需求、设计、开发、测试、部署与发布、维护服务”等能力域要求，致力于“在各阶段交付满足需求的成果，为客户与相关方增加价值”，重点关注软件开发过程的规范性与交付质量，采用XXX开发模式，建立了从需求-设计-开发-测试-部署-维护整个软件开发周期的全链路管理，保证了交付产品的质量。（企业自行修改）</w:t>
      </w:r>
    </w:p>
    <w:p w14:paraId="0D5FE4CB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/>
          <w:i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  <w:t>可介绍工具应用（需求开发工具、持续集成/部署工具、测试工具）、技术创新（低代码平台应用、AI开发/测试辅助)及其它技术能力情况。</w:t>
      </w:r>
    </w:p>
    <w:p w14:paraId="08E98BC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2.1.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 管理与支持</w:t>
      </w:r>
    </w:p>
    <w:p w14:paraId="4C8247D0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围绕 CSMM“项目管理、质量保证、配置管理、技术评审、原因分析与解决、软件物料清单管理”等核心过程，规范全流程执行，重点解决如何确保软件项目能够按照既定的成本、进度和质量交付，满足客户与相关方要求的问题。（企业自行修改）</w:t>
      </w:r>
    </w:p>
    <w:p w14:paraId="7831C13F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  <w:t>可分别概述项目管理、质量保证、配置管理、技术评审、原因分析与解决、软件物料清单管理的情况。</w:t>
      </w:r>
    </w:p>
    <w:p w14:paraId="5F634AD4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如：</w:t>
      </w:r>
    </w:p>
    <w:p w14:paraId="6A84A779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项目管理：XXXX</w:t>
      </w:r>
    </w:p>
    <w:p w14:paraId="34758450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质量保证：XXXX</w:t>
      </w:r>
    </w:p>
    <w:p w14:paraId="32CBF079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配置管理：XXXX</w:t>
      </w:r>
    </w:p>
    <w:p w14:paraId="6504D3AF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技术评审：XXXX</w:t>
      </w:r>
    </w:p>
    <w:p w14:paraId="40F4D816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原因分析与解决：XXXX</w:t>
      </w:r>
    </w:p>
    <w:p w14:paraId="1F16FCDA">
      <w:pPr>
        <w:pStyle w:val="2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软件物料清单管理：XXXX</w:t>
      </w:r>
    </w:p>
    <w:p w14:paraId="653C6946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/>
          <w:i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  <w:t>可介绍工具应用（项目管理工具、配置管理工具等）情况。</w:t>
      </w:r>
    </w:p>
    <w:p w14:paraId="3FC321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2.1.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 xml:space="preserve"> 组织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保障</w:t>
      </w:r>
    </w:p>
    <w:p w14:paraId="60886C33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落实CSMM“过程管理、过程性能管理、过程资产管理、人员能力管理、供方管理、风险管理”的要求，确保体系运行支撑到位。</w:t>
      </w:r>
    </w:p>
    <w:p w14:paraId="05D9922D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/>
          <w:iCs/>
          <w:sz w:val="32"/>
          <w:szCs w:val="32"/>
          <w:lang w:val="en-US" w:eastAsia="zh-CN"/>
        </w:rPr>
        <w:t>可分别概述过程管理、过程性能管理、过程资产管理、人员能力管理、供方管理、风险管理的情况。</w:t>
      </w:r>
    </w:p>
    <w:p w14:paraId="60C0B91E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如：</w:t>
      </w:r>
    </w:p>
    <w:p w14:paraId="6711EF4A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1）过程管理：建立并持续优化软件过程体系，通过复盘总结不断提升流程效率和产品质量；</w:t>
      </w:r>
    </w:p>
    <w:p w14:paraId="295A14C0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2）过程性能管理：建立过程性能基线</w:t>
      </w:r>
      <w:r>
        <w:rPr>
          <w:rFonts w:hint="eastAsia" w:ascii="Times New Roman" w:hAnsi="Times New Roman" w:eastAsia="仿宋" w:cs="仿宋"/>
          <w:i/>
          <w:iCs/>
          <w:color w:val="0000FF"/>
          <w:sz w:val="32"/>
          <w:szCs w:val="32"/>
          <w:lang w:val="en-US" w:eastAsia="zh-CN"/>
        </w:rPr>
        <w:t>（高成熟度），</w:t>
      </w: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定期评估组织软件过程水平，针对性制定提升方案，增强企业整体软件交付能力；</w:t>
      </w:r>
    </w:p>
    <w:p w14:paraId="31167D84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3）过程资产管理：过程资产包括XXXXX，组织定期识别软件过程所需的过程资产并及时更新，支撑软件过程和业务开展，提高开发、服务和管理水平。</w:t>
      </w:r>
    </w:p>
    <w:p w14:paraId="0753DD47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4）人员能力管理：围绕招聘、培训、考核与激励开展，选拔适配人才并助力其成长，打造高素质团队；</w:t>
      </w:r>
    </w:p>
    <w:p w14:paraId="67CF9F41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5）供方管理：XXXX</w:t>
      </w:r>
    </w:p>
    <w:p w14:paraId="58BA2193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color w:val="0000FF"/>
          <w:sz w:val="32"/>
          <w:szCs w:val="32"/>
          <w:lang w:val="en-US" w:eastAsia="zh-CN"/>
        </w:rPr>
        <w:t>6）风险管理：XXXX</w:t>
      </w:r>
    </w:p>
    <w:p w14:paraId="4F2CFDF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2.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体系运行与 CSMM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能力子域符合性情况</w:t>
      </w:r>
    </w:p>
    <w:p w14:paraId="163D757E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sz w:val="32"/>
          <w:szCs w:val="32"/>
          <w:lang w:val="en-US" w:eastAsia="zh-CN"/>
        </w:rPr>
        <w:t>参见附表1《体系运行与CSMM能力子域符合性对照表》</w:t>
      </w:r>
    </w:p>
    <w:p w14:paraId="5D8BFA0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/>
          <w:sz w:val="32"/>
          <w:szCs w:val="32"/>
        </w:rPr>
        <w:t>、结论</w:t>
      </w:r>
    </w:p>
    <w:p w14:paraId="645D3DCD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640" w:firstLineChars="200"/>
        <w:textAlignment w:val="auto"/>
        <w:rPr>
          <w:rFonts w:hint="eastAsia" w:ascii="Times New Roman" w:hAnsi="Times New Roman" w:eastAsia="仿宋" w:cs="仿宋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i w:val="0"/>
          <w:iCs w:val="0"/>
          <w:sz w:val="32"/>
          <w:szCs w:val="32"/>
          <w:lang w:val="en-US" w:eastAsia="zh-CN"/>
        </w:rPr>
        <w:t>综上，本公司管理体系常态化运行整体良好，四大核心过程域（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战略与治理、开发与交付、管理与支持、组织保障</w:t>
      </w:r>
      <w:r>
        <w:rPr>
          <w:rFonts w:hint="eastAsia" w:ascii="Times New Roman" w:hAnsi="Times New Roman" w:eastAsia="仿宋" w:cs="仿宋"/>
          <w:i w:val="0"/>
          <w:iCs w:val="0"/>
          <w:sz w:val="32"/>
          <w:szCs w:val="32"/>
          <w:lang w:val="en-US" w:eastAsia="zh-CN"/>
        </w:rPr>
        <w:t>）均符合XXXX等级各条款要求，有效支撑了组织软件业务的高质量发展。同时，也识别出XXXXXX等方面的短板，后续将通过明确改进方向与工作计划，持续优化体系运行水平，确保CSMM条款全面落地，为组织在国内软件行业的竞争力提升奠定坚实基础。</w:t>
      </w:r>
    </w:p>
    <w:p w14:paraId="78C7C780">
      <w:pPr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sz w:val="32"/>
          <w:szCs w:val="32"/>
          <w:lang w:val="en-US" w:eastAsia="zh-CN"/>
        </w:rPr>
        <w:br w:type="page"/>
      </w:r>
    </w:p>
    <w:p w14:paraId="4FA9034E">
      <w:pPr>
        <w:pStyle w:val="14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440" w:bottom="1440" w:left="1440" w:header="708" w:footer="10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linePitch="360" w:charSpace="0"/>
        </w:sectPr>
      </w:pPr>
    </w:p>
    <w:p w14:paraId="2DC74A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2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line="480" w:lineRule="exact"/>
        <w:ind w:right="-17"/>
        <w:rPr>
          <w:rFonts w:hint="eastAsia" w:ascii="Calibri" w:hAnsi="Calibri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Calibri" w:hAnsi="Calibri" w:eastAsia="黑体" w:cs="Times New Roman"/>
          <w:kern w:val="2"/>
          <w:sz w:val="32"/>
          <w:szCs w:val="24"/>
          <w:lang w:val="en-US" w:eastAsia="zh-CN" w:bidi="ar-SA"/>
        </w:rPr>
        <w:t>附表1</w:t>
      </w:r>
    </w:p>
    <w:p w14:paraId="567A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Calibri" w:hAnsi="Calibri" w:eastAsia="方正小标宋简体" w:cs="Times New Roman"/>
          <w:kern w:val="2"/>
          <w:sz w:val="36"/>
          <w:szCs w:val="24"/>
          <w:lang w:val="en-US" w:eastAsia="zh-CN" w:bidi="ar-SA"/>
        </w:rPr>
      </w:pPr>
    </w:p>
    <w:p w14:paraId="74EBF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Calibri" w:hAnsi="Calibri" w:eastAsia="方正小标宋简体" w:cs="Times New Roman"/>
          <w:kern w:val="2"/>
          <w:sz w:val="36"/>
          <w:szCs w:val="24"/>
          <w:lang w:val="en-US" w:eastAsia="zh-CN" w:bidi="ar-SA"/>
        </w:rPr>
      </w:pPr>
      <w:r>
        <w:rPr>
          <w:rFonts w:hint="default" w:ascii="Calibri" w:hAnsi="Calibri" w:eastAsia="方正小标宋简体" w:cs="Times New Roman"/>
          <w:kern w:val="2"/>
          <w:sz w:val="36"/>
          <w:szCs w:val="24"/>
          <w:lang w:val="en-US" w:eastAsia="zh-CN" w:bidi="ar-SA"/>
        </w:rPr>
        <w:t>体系运行与CSMM能力子域符合性对照表</w:t>
      </w:r>
    </w:p>
    <w:tbl>
      <w:tblPr>
        <w:tblStyle w:val="16"/>
        <w:tblW w:w="1417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1133"/>
        <w:gridCol w:w="1484"/>
        <w:gridCol w:w="5418"/>
        <w:gridCol w:w="2981"/>
        <w:gridCol w:w="3158"/>
      </w:tblGrid>
      <w:tr w14:paraId="4243C45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tblHeader/>
          <w:jc w:val="center"/>
        </w:trPr>
        <w:tc>
          <w:tcPr>
            <w:tcW w:w="113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23C59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67007E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能力子域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506776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能力子域目标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63F749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黑体" w:eastAsia="黑体" w:cs="黑体"/>
                <w:b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对应文档或制度</w:t>
            </w:r>
          </w:p>
        </w:tc>
        <w:tc>
          <w:tcPr>
            <w:tcW w:w="315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0FADF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微软雅黑" w:eastAsia="黑体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执行情况说明</w:t>
            </w:r>
          </w:p>
        </w:tc>
      </w:tr>
      <w:tr w14:paraId="5B4C37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02D868B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373FD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战略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3F6EE35A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明确组织的定位和方向，指引组织的长期发展。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vAlign w:val="center"/>
          </w:tcPr>
          <w:p w14:paraId="412E96A3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  <w:vAlign w:val="center"/>
          </w:tcPr>
          <w:p w14:paraId="6BBE334C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1D3F5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6514DFF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518D9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治理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77468804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使组织能持续运行 ,推动组织长期发展。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vAlign w:val="center"/>
          </w:tcPr>
          <w:p w14:paraId="77527965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  <w:vAlign w:val="center"/>
          </w:tcPr>
          <w:p w14:paraId="23D5E47A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68644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55D0EC0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404C4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需求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04B8B0A4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使工作产品与需求保持一致，促使各利益相关方对需求理解达成一致，并控制需求变更或迭代带来的风险。</w:t>
            </w:r>
          </w:p>
        </w:tc>
        <w:tc>
          <w:tcPr>
            <w:tcW w:w="2981" w:type="dxa"/>
            <w:tcBorders>
              <w:tl2br w:val="nil"/>
              <w:tr2bl w:val="nil"/>
            </w:tcBorders>
            <w:vAlign w:val="center"/>
          </w:tcPr>
          <w:p w14:paraId="3B05995F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  <w:vAlign w:val="center"/>
          </w:tcPr>
          <w:p w14:paraId="2C6FA118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487DE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A7E8D9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5BE45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设计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70431FBD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为编码实现提供依据，符合软件的功能性和非功能性需求，以提升软件质量和用户体验。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172ABA59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7EC9545A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1583C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9674C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A9794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开发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6858F291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实现需求和设计的要求，构建并集成为可运行的软件。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7407E645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269B1F62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66079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57B3B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4C0D1F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测试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02B34265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验证软件或软件单元是否符合指定的需求，并实现其预期用途。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311535CF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5832C787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C8FF0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679C74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3C0D6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部署与发布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03EB136A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使软件在目标环境中正常运行，为用户创造价值。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322FBD31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410CCA13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40FE0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61A150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2998D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维护服务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3AB8E5A2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在软件生存周期内符合业务连续性，持续发挥软件的业务价值。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53D833C8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33A52176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090E5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7970A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31B039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项目策划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7464B7DA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建立项目执行基准，提高项目目标达成的可行性。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5A110B85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62B5736C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4D1E0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94FEE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5DBA7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项目监控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3F305C3B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发现项目计划执行的偏差，采取纠正措施并解决问题。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5C128157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1FBCEEAE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BDCB4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9615D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17158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配置管理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2D82BA45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提升工作产品的一致性、完整性和可追溯性。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13C49D33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6D9BA171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88CBE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1DF97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F92E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过程质量保证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7B68704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软件过程和工作产品应符合既定标准和要求，持续提高开发过程的效率和质量水平。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1C5CD36B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6A23F604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4D92E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B5AFB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866E9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技术评审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2EBBB62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提前识别并减少潜在的问题或缺陷，提高软件质量。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3577C4A0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325D3146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F6DC9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EF43F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B430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原因分析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6A87734B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避免问题的重复发生或促进成功得以复制，从而更高效地达成目标。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13F65CD1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7820E29E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38A86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87F9E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22DA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软件物料清单管理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7C8CAE93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生成和管理软件制品中包含的组件信息，解决软件供应链安全问题。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6CA93E7A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3459CC77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70FB8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BC1CF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4AC9D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过程管理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598FCA7F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提升组织软件过程执行的规范性和一致性，促进业务目标的达成。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3501BD05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56262B6C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2E222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47AC3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B2C08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过程性能管理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61FBCA2B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对软件过程的性能建立量化的理解，通过管理和改进过程性能目标支撑组织业务目标的达成。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6539FDBB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72CEA811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D52CAF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ABF8E0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AF4AE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过程资产管理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1059045E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使过程资产得到收集、管理和使用，提高组织过程性能。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66D1529E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4F953E48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174DE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4F61E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92159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人员能力管理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3771A9B9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使人员能力符合项目要求和组织发展。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388252FE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4FE6E902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0BAEB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E0A83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9B29E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供方管理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3DADDC7E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使供方的过程、产品和服务符合组织要求。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7FB24FBF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2BAA8888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388AD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5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F7E5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spacing w:line="360" w:lineRule="auto"/>
              <w:ind w:left="454" w:leftChars="0" w:hanging="341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448B8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风险管理</w:t>
            </w:r>
          </w:p>
        </w:tc>
        <w:tc>
          <w:tcPr>
            <w:tcW w:w="5418" w:type="dxa"/>
            <w:tcBorders>
              <w:tl2br w:val="nil"/>
              <w:tr2bl w:val="nil"/>
            </w:tcBorders>
            <w:vAlign w:val="center"/>
          </w:tcPr>
          <w:p w14:paraId="1703C7E7">
            <w:pPr>
              <w:widowControl/>
              <w:spacing w:line="276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降低因风险对目标达成带来的不利影响。</w:t>
            </w:r>
          </w:p>
        </w:tc>
        <w:tc>
          <w:tcPr>
            <w:tcW w:w="2981" w:type="dxa"/>
            <w:tcBorders>
              <w:tl2br w:val="nil"/>
              <w:tr2bl w:val="nil"/>
            </w:tcBorders>
          </w:tcPr>
          <w:p w14:paraId="401C5FB6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58" w:type="dxa"/>
            <w:tcBorders>
              <w:tl2br w:val="nil"/>
              <w:tr2bl w:val="nil"/>
            </w:tcBorders>
          </w:tcPr>
          <w:p w14:paraId="0AFC9E46">
            <w:pPr>
              <w:widowControl/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669DF308">
      <w:pPr>
        <w:pStyle w:val="14"/>
        <w:spacing w:after="0" w:line="240" w:lineRule="auto"/>
        <w:ind w:left="0" w:leftChars="0" w:firstLine="0" w:firstLineChars="0"/>
        <w:jc w:val="both"/>
        <w:rPr>
          <w:rFonts w:hint="eastAsia" w:ascii="黑体" w:hAnsi="黑体" w:eastAsia="黑体" w:cs="黑体"/>
          <w:i w:val="0"/>
          <w:iCs w:val="0"/>
          <w:sz w:val="36"/>
          <w:szCs w:val="36"/>
          <w:lang w:val="en-US" w:eastAsia="zh-CN"/>
        </w:rPr>
      </w:pPr>
    </w:p>
    <w:sectPr>
      <w:pgSz w:w="16838" w:h="11906" w:orient="landscape"/>
      <w:pgMar w:top="1440" w:right="1440" w:bottom="1440" w:left="1440" w:header="708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1543A3-5675-4DFD-9847-067759B221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2D2A83-09A1-4C68-8B2F-61A948BCE2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6A4A58B-3FBF-426D-A246-71A98B2FB07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581CC2B-E072-4E85-8EC0-EA79E9E893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E8E4BA6-D14D-48AB-B7FC-7CB6DFE9E5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41574AB0-14C4-4A3B-A84C-AA56B32BD2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8943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9C41A8">
                          <w:pPr>
                            <w:pStyle w:val="9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9C41A8">
                    <w:pPr>
                      <w:pStyle w:val="9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3100B"/>
    <w:multiLevelType w:val="singleLevel"/>
    <w:tmpl w:val="0DC3100B"/>
    <w:lvl w:ilvl="0" w:tentative="0">
      <w:start w:val="1"/>
      <w:numFmt w:val="decimal"/>
      <w:lvlText w:val="%1"/>
      <w:lvlJc w:val="left"/>
      <w:pPr>
        <w:tabs>
          <w:tab w:val="left" w:pos="397"/>
        </w:tabs>
        <w:ind w:left="454" w:leftChars="0" w:hanging="341" w:firstLineChars="0"/>
      </w:pPr>
      <w:rPr>
        <w:rFonts w:hint="default"/>
      </w:rPr>
    </w:lvl>
  </w:abstractNum>
  <w:abstractNum w:abstractNumId="1">
    <w:nsid w:val="24F4FB36"/>
    <w:multiLevelType w:val="singleLevel"/>
    <w:tmpl w:val="24F4FB36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8F24482"/>
    <w:rsid w:val="0BC17621"/>
    <w:rsid w:val="14450B48"/>
    <w:rsid w:val="149363ED"/>
    <w:rsid w:val="15F269E1"/>
    <w:rsid w:val="191F1F46"/>
    <w:rsid w:val="1A9F621A"/>
    <w:rsid w:val="22455FB0"/>
    <w:rsid w:val="2FD6789C"/>
    <w:rsid w:val="41745E55"/>
    <w:rsid w:val="4764300E"/>
    <w:rsid w:val="53853937"/>
    <w:rsid w:val="61471F6C"/>
    <w:rsid w:val="6C2D622C"/>
    <w:rsid w:val="73A733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 Indent"/>
    <w:basedOn w:val="1"/>
    <w:qFormat/>
    <w:uiPriority w:val="0"/>
    <w:pPr>
      <w:spacing w:after="120" w:line="360" w:lineRule="auto"/>
      <w:ind w:left="200" w:hanging="200" w:hangingChars="200"/>
    </w:pPr>
    <w:rPr>
      <w:rFonts w:ascii="Arial" w:hAnsi="Arial" w:eastAsia="楷体"/>
      <w:kern w:val="0"/>
      <w:sz w:val="24"/>
      <w:szCs w:val="21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14">
    <w:name w:val="Body Text First Indent 2"/>
    <w:basedOn w:val="8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table" w:customStyle="1" w:styleId="24">
    <w:name w:val="Grid Table 4 Accent 1"/>
    <w:basedOn w:val="15"/>
    <w:autoRedefine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2060</Words>
  <Characters>2174</Characters>
  <TotalTime>3</TotalTime>
  <ScaleCrop>false</ScaleCrop>
  <LinksUpToDate>false</LinksUpToDate>
  <CharactersWithSpaces>2189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2025-10-21T15:10:00Z</dcterms:created>
  <dc:creator>Un-named</dc:creator>
  <cp:lastModifiedBy>潇耿</cp:lastModifiedBy>
  <dcterms:modified xsi:type="dcterms:W3CDTF">2025-10-24T07:38:09Z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eyJoZGlkIjoiMzE1MzEzYTZkZTZiMzc1NzNmMGI3NjAxMGRlYWI3MTMiLCJ1c2VySWQiOiI5Mjk2MjgyMjYifQ==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16ACF15B4D9849ABB9A4410724FE9D19_13</vt:lpwstr>
  </property>
</Properties>
</file>